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8C" w:rsidRDefault="00F12CF0">
      <w:r>
        <w:rPr>
          <w:noProof/>
          <w:lang w:eastAsia="pl-PL"/>
        </w:rPr>
        <w:drawing>
          <wp:inline distT="0" distB="0" distL="0" distR="0" wp14:anchorId="2D45376B" wp14:editId="4F94AD33">
            <wp:extent cx="5760720" cy="5760720"/>
            <wp:effectExtent l="0" t="0" r="0" b="0"/>
            <wp:docPr id="1" name="Obraz 1" descr="Stelaż do mopa płaskiego z uszami KLIK SUPER Splast 50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laż do mopa płaskiego z uszami KLIK SUPER Splast 50 c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1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CF0"/>
    <w:rsid w:val="0018118C"/>
    <w:rsid w:val="00F1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SP1 Świdnica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Miejska Świdnica</dc:creator>
  <cp:lastModifiedBy>Gmina Miejska Świdnica</cp:lastModifiedBy>
  <cp:revision>1</cp:revision>
  <dcterms:created xsi:type="dcterms:W3CDTF">2025-03-27T10:59:00Z</dcterms:created>
  <dcterms:modified xsi:type="dcterms:W3CDTF">2025-03-27T10:59:00Z</dcterms:modified>
</cp:coreProperties>
</file>