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05738" w14:textId="75D262F4" w:rsidR="009769F0" w:rsidRDefault="009769F0" w:rsidP="009769F0">
      <w:pPr>
        <w:spacing w:line="23" w:lineRule="atLeast"/>
        <w:jc w:val="right"/>
        <w:rPr>
          <w:rFonts w:ascii="Arial" w:hAnsi="Arial" w:cs="Arial"/>
          <w:b/>
          <w:bCs/>
          <w:sz w:val="24"/>
          <w:szCs w:val="24"/>
        </w:rPr>
      </w:pPr>
      <w:r>
        <w:rPr>
          <w:rFonts w:ascii="Arial" w:hAnsi="Arial" w:cs="Arial"/>
          <w:b/>
          <w:bCs/>
          <w:sz w:val="24"/>
          <w:szCs w:val="24"/>
        </w:rPr>
        <w:t>Załącznik nr 2.3 do SWZ</w:t>
      </w:r>
    </w:p>
    <w:p w14:paraId="39D6D029" w14:textId="70C3D99D" w:rsidR="00576A67" w:rsidRPr="005C573E" w:rsidRDefault="00576A67" w:rsidP="00576A67">
      <w:pPr>
        <w:spacing w:line="23" w:lineRule="atLeast"/>
        <w:rPr>
          <w:rFonts w:ascii="Arial" w:hAnsi="Arial" w:cs="Arial"/>
          <w:b/>
          <w:bCs/>
          <w:sz w:val="24"/>
          <w:szCs w:val="24"/>
        </w:rPr>
      </w:pPr>
      <w:r w:rsidRPr="005C573E">
        <w:rPr>
          <w:rFonts w:ascii="Arial" w:hAnsi="Arial" w:cs="Arial"/>
          <w:b/>
          <w:bCs/>
          <w:sz w:val="24"/>
          <w:szCs w:val="24"/>
        </w:rPr>
        <w:t>Usługa realizacji i opracowania badania „Prognozowanie zapotrzebowania na kwalifikacje i umiejętności w perspektywie roku 2035” – opis przedmiotu zamówienia</w:t>
      </w:r>
    </w:p>
    <w:p w14:paraId="00FC8AEB" w14:textId="77777777" w:rsidR="00576A67" w:rsidRPr="005C573E" w:rsidRDefault="00576A67" w:rsidP="00576A67">
      <w:pPr>
        <w:pStyle w:val="Akapitzlist"/>
        <w:numPr>
          <w:ilvl w:val="0"/>
          <w:numId w:val="1"/>
        </w:numPr>
        <w:spacing w:line="23" w:lineRule="atLeast"/>
        <w:rPr>
          <w:rFonts w:ascii="Arial" w:hAnsi="Arial" w:cs="Arial"/>
          <w:b/>
          <w:bCs/>
          <w:sz w:val="24"/>
          <w:szCs w:val="24"/>
        </w:rPr>
      </w:pPr>
      <w:r w:rsidRPr="005C573E">
        <w:rPr>
          <w:rFonts w:ascii="Arial" w:hAnsi="Arial" w:cs="Arial"/>
          <w:b/>
          <w:bCs/>
          <w:sz w:val="24"/>
          <w:szCs w:val="24"/>
        </w:rPr>
        <w:t>Uzasadnienie badania</w:t>
      </w:r>
    </w:p>
    <w:p w14:paraId="7369FA90" w14:textId="183E9214" w:rsidR="00576A67" w:rsidRPr="005C573E" w:rsidRDefault="00576A67" w:rsidP="00576A67">
      <w:pPr>
        <w:spacing w:line="23" w:lineRule="atLeast"/>
        <w:jc w:val="both"/>
        <w:rPr>
          <w:rFonts w:ascii="Arial" w:hAnsi="Arial" w:cs="Arial"/>
          <w:sz w:val="24"/>
          <w:szCs w:val="24"/>
        </w:rPr>
      </w:pPr>
      <w:r w:rsidRPr="005C573E">
        <w:rPr>
          <w:rFonts w:ascii="Arial" w:hAnsi="Arial" w:cs="Arial"/>
          <w:sz w:val="24"/>
          <w:szCs w:val="24"/>
        </w:rPr>
        <w:t xml:space="preserve">Współczesne strategie europejskie są silnie zorientowane na innowacyjność, a specjalizacje, określane jako inteligentne mają wyjątkowy charakter, gdyż wpływają na kształtowanie przewagi konkurencyjnej regionu. Innowacyjne podejście do rynku pracy wymaga od osób planujących kariery zawodowe patrzenia na swoje wybory w kontekście dynamiki rynku pracy z uwzględnieniem zmienności zapotrzebowania na kwalifikacje i kompetencje. Pracujący widzą konieczność podnoszenia swoich umiejętności i kwalifikacji, co staję się uczeniem przez całe życie. </w:t>
      </w:r>
      <w:r w:rsidR="00B30F19">
        <w:rPr>
          <w:rFonts w:ascii="Arial" w:hAnsi="Arial" w:cs="Arial"/>
          <w:sz w:val="24"/>
          <w:szCs w:val="24"/>
        </w:rPr>
        <w:t>K</w:t>
      </w:r>
      <w:r w:rsidRPr="005C573E">
        <w:rPr>
          <w:rFonts w:ascii="Arial" w:hAnsi="Arial" w:cs="Arial"/>
          <w:sz w:val="24"/>
          <w:szCs w:val="24"/>
        </w:rPr>
        <w:t xml:space="preserve">walifikacje i kompetencje wzajemnie się warunkują, ponieważ do zdobycia kwalifikacji potrzebne są określone kompetencje. Ma to wpływ zarówno na efektywność pracowników, jak i wizerunek firmy. Rozwój w zakresie inteligentnych specjalizacji jest powiązany, a nawet uwarunkowany doskonaleniem kompetencji pracowników w tym zakresie. </w:t>
      </w:r>
    </w:p>
    <w:p w14:paraId="66F87EC0" w14:textId="3D51B58A" w:rsidR="00C758A1" w:rsidRPr="005C573E" w:rsidRDefault="00576A67" w:rsidP="00576A67">
      <w:pPr>
        <w:spacing w:line="23" w:lineRule="atLeast"/>
        <w:jc w:val="both"/>
        <w:rPr>
          <w:rFonts w:ascii="Arial" w:hAnsi="Arial" w:cs="Arial"/>
          <w:sz w:val="24"/>
          <w:szCs w:val="24"/>
        </w:rPr>
      </w:pPr>
      <w:r w:rsidRPr="005C573E">
        <w:rPr>
          <w:rFonts w:ascii="Arial" w:hAnsi="Arial" w:cs="Arial"/>
          <w:sz w:val="24"/>
          <w:szCs w:val="24"/>
        </w:rPr>
        <w:t>W Regionalnej Strategii Innowacji Województwa Lubelskiego do 2030 roku</w:t>
      </w:r>
      <w:r w:rsidRPr="005C573E">
        <w:rPr>
          <w:rStyle w:val="Odwoanieprzypisudolnego"/>
          <w:rFonts w:ascii="Arial" w:hAnsi="Arial" w:cs="Arial"/>
          <w:sz w:val="24"/>
          <w:szCs w:val="24"/>
        </w:rPr>
        <w:footnoteReference w:id="2"/>
      </w:r>
      <w:r w:rsidRPr="005C573E">
        <w:rPr>
          <w:rFonts w:ascii="Arial" w:hAnsi="Arial" w:cs="Arial"/>
          <w:sz w:val="24"/>
          <w:szCs w:val="24"/>
        </w:rPr>
        <w:t xml:space="preserve"> </w:t>
      </w:r>
    </w:p>
    <w:p w14:paraId="43BE5210" w14:textId="49874F42" w:rsidR="00576A67" w:rsidRPr="005C573E" w:rsidRDefault="00576A67" w:rsidP="00576A67">
      <w:pPr>
        <w:spacing w:line="23" w:lineRule="atLeast"/>
        <w:jc w:val="both"/>
      </w:pPr>
      <w:r w:rsidRPr="005C573E">
        <w:rPr>
          <w:rFonts w:ascii="Arial" w:hAnsi="Arial" w:cs="Arial"/>
          <w:sz w:val="24"/>
          <w:szCs w:val="24"/>
        </w:rPr>
        <w:t>zidentyfikowano listę zagadnień szczegółowych w ramach inteligentnych specjalizacji województwa lubelskiego dla 5 obszarów:</w:t>
      </w:r>
    </w:p>
    <w:p w14:paraId="775EF678" w14:textId="77777777" w:rsidR="00576A67" w:rsidRPr="005C573E" w:rsidRDefault="00576A67" w:rsidP="00576A67">
      <w:pPr>
        <w:pStyle w:val="Akapitzlist"/>
        <w:numPr>
          <w:ilvl w:val="0"/>
          <w:numId w:val="2"/>
        </w:numPr>
        <w:spacing w:line="23" w:lineRule="atLeast"/>
        <w:rPr>
          <w:rFonts w:ascii="Arial" w:hAnsi="Arial" w:cs="Arial"/>
          <w:sz w:val="24"/>
          <w:szCs w:val="24"/>
        </w:rPr>
      </w:pPr>
      <w:r w:rsidRPr="005C573E">
        <w:rPr>
          <w:rFonts w:ascii="Arial" w:hAnsi="Arial" w:cs="Arial"/>
          <w:sz w:val="24"/>
          <w:szCs w:val="24"/>
        </w:rPr>
        <w:t>Żywność wysokiej jakości</w:t>
      </w:r>
    </w:p>
    <w:p w14:paraId="11223E73" w14:textId="77777777" w:rsidR="00576A67" w:rsidRPr="005C573E" w:rsidRDefault="00576A67" w:rsidP="00576A67">
      <w:pPr>
        <w:pStyle w:val="Akapitzlist"/>
        <w:numPr>
          <w:ilvl w:val="0"/>
          <w:numId w:val="2"/>
        </w:numPr>
        <w:spacing w:line="23" w:lineRule="atLeast"/>
        <w:rPr>
          <w:rFonts w:ascii="Arial" w:hAnsi="Arial" w:cs="Arial"/>
          <w:sz w:val="24"/>
          <w:szCs w:val="24"/>
        </w:rPr>
      </w:pPr>
      <w:r w:rsidRPr="005C573E">
        <w:rPr>
          <w:rFonts w:ascii="Arial" w:hAnsi="Arial" w:cs="Arial"/>
          <w:sz w:val="24"/>
          <w:szCs w:val="24"/>
        </w:rPr>
        <w:t>Zielona gospodarka</w:t>
      </w:r>
    </w:p>
    <w:p w14:paraId="69C28822" w14:textId="77777777" w:rsidR="00576A67" w:rsidRPr="005C573E" w:rsidRDefault="00576A67" w:rsidP="00576A67">
      <w:pPr>
        <w:pStyle w:val="Akapitzlist"/>
        <w:numPr>
          <w:ilvl w:val="0"/>
          <w:numId w:val="2"/>
        </w:numPr>
        <w:spacing w:line="23" w:lineRule="atLeast"/>
        <w:rPr>
          <w:rFonts w:ascii="Arial" w:hAnsi="Arial" w:cs="Arial"/>
          <w:sz w:val="24"/>
          <w:szCs w:val="24"/>
        </w:rPr>
      </w:pPr>
      <w:r w:rsidRPr="005C573E">
        <w:rPr>
          <w:rFonts w:ascii="Arial" w:hAnsi="Arial" w:cs="Arial"/>
          <w:sz w:val="24"/>
          <w:szCs w:val="24"/>
        </w:rPr>
        <w:t>Zdrowe społeczeństwo</w:t>
      </w:r>
    </w:p>
    <w:p w14:paraId="66ED6FB1" w14:textId="77777777" w:rsidR="00576A67" w:rsidRPr="005C573E" w:rsidRDefault="00576A67" w:rsidP="00576A67">
      <w:pPr>
        <w:pStyle w:val="Akapitzlist"/>
        <w:numPr>
          <w:ilvl w:val="0"/>
          <w:numId w:val="2"/>
        </w:numPr>
        <w:spacing w:line="23" w:lineRule="atLeast"/>
        <w:rPr>
          <w:rFonts w:ascii="Arial" w:hAnsi="Arial" w:cs="Arial"/>
          <w:sz w:val="24"/>
          <w:szCs w:val="24"/>
        </w:rPr>
      </w:pPr>
      <w:r w:rsidRPr="005C573E">
        <w:rPr>
          <w:rFonts w:ascii="Arial" w:hAnsi="Arial" w:cs="Arial"/>
          <w:sz w:val="24"/>
          <w:szCs w:val="24"/>
        </w:rPr>
        <w:t>Cyfrowe społeczeństwo</w:t>
      </w:r>
    </w:p>
    <w:p w14:paraId="3DE2D65B" w14:textId="77777777" w:rsidR="00576A67" w:rsidRPr="005C573E" w:rsidRDefault="00576A67" w:rsidP="00576A67">
      <w:pPr>
        <w:pStyle w:val="Akapitzlist"/>
        <w:numPr>
          <w:ilvl w:val="0"/>
          <w:numId w:val="2"/>
        </w:numPr>
        <w:spacing w:line="23" w:lineRule="atLeast"/>
        <w:rPr>
          <w:rFonts w:ascii="Arial" w:hAnsi="Arial" w:cs="Arial"/>
          <w:sz w:val="24"/>
          <w:szCs w:val="24"/>
        </w:rPr>
      </w:pPr>
      <w:r w:rsidRPr="005C573E">
        <w:rPr>
          <w:rFonts w:ascii="Arial" w:hAnsi="Arial" w:cs="Arial"/>
          <w:sz w:val="24"/>
          <w:szCs w:val="24"/>
        </w:rPr>
        <w:t>Technologie materiałowe, procesy produkcyjne i logistyczne</w:t>
      </w:r>
    </w:p>
    <w:p w14:paraId="424640F8" w14:textId="77777777" w:rsidR="00576A67" w:rsidRPr="005C573E" w:rsidRDefault="00576A67" w:rsidP="00576A67">
      <w:pPr>
        <w:spacing w:line="23" w:lineRule="atLeast"/>
        <w:jc w:val="both"/>
        <w:rPr>
          <w:rFonts w:ascii="Arial" w:hAnsi="Arial" w:cs="Arial"/>
          <w:sz w:val="24"/>
          <w:szCs w:val="24"/>
        </w:rPr>
      </w:pPr>
      <w:r w:rsidRPr="005C573E">
        <w:rPr>
          <w:rFonts w:ascii="Arial" w:hAnsi="Arial" w:cs="Arial"/>
          <w:sz w:val="24"/>
          <w:szCs w:val="24"/>
        </w:rPr>
        <w:t>Rozwój każdego z pięciu zidentyfikowanych obszarów inteligentnych specjalizacji wraz z przyporządkowanymi zagadnieniami szczegółowymi wiąże się ze zmianami w zakresie zapotrzebowania na kwalifikacje i kompetencje. Aby maksymalnie precyzyjnie prognozować przyszłe trendy w zakresie każdego z obszarów, niezbędna jest gruntowna wiedza dotycząca specyfiki każdego z nich. Jednocześnie, z uwagi na fakt, że na rynek pracy wpływa jeszcze wiele czynników, a jego kształt oraz dynamikę warunkują bardzo różne procesy, w konstruowanie prognoz z zakresu rynku pracy powinni zostać włączani regionalni eksperci zajmujący się zarówno rynkiem pracy, jak i sferą edukacji, która co do zasady powinna funkcjonować pod potrzeby tego rynku. Dlatego zaprojektowano badanie dwuetapowe.</w:t>
      </w:r>
    </w:p>
    <w:p w14:paraId="1C3730C1" w14:textId="77777777" w:rsidR="00576A67" w:rsidRPr="00A15F1E" w:rsidRDefault="00576A67" w:rsidP="00576A67">
      <w:pPr>
        <w:pStyle w:val="Akapitzlist"/>
        <w:numPr>
          <w:ilvl w:val="0"/>
          <w:numId w:val="1"/>
        </w:numPr>
        <w:spacing w:line="23" w:lineRule="atLeast"/>
        <w:jc w:val="both"/>
        <w:rPr>
          <w:rFonts w:ascii="Arial" w:hAnsi="Arial" w:cs="Arial"/>
          <w:b/>
          <w:bCs/>
          <w:sz w:val="24"/>
          <w:szCs w:val="24"/>
        </w:rPr>
      </w:pPr>
      <w:r w:rsidRPr="00A15F1E">
        <w:rPr>
          <w:rFonts w:ascii="Arial" w:hAnsi="Arial" w:cs="Arial"/>
          <w:b/>
          <w:bCs/>
          <w:sz w:val="24"/>
          <w:szCs w:val="24"/>
        </w:rPr>
        <w:t xml:space="preserve">Przedmiot zamówienia </w:t>
      </w:r>
    </w:p>
    <w:p w14:paraId="0C561A9B" w14:textId="12508340" w:rsidR="00576A67" w:rsidRPr="005C573E" w:rsidRDefault="00576A67" w:rsidP="00576A67">
      <w:pPr>
        <w:spacing w:before="120" w:line="23" w:lineRule="atLeast"/>
        <w:jc w:val="both"/>
        <w:rPr>
          <w:rFonts w:ascii="Arial" w:hAnsi="Arial" w:cs="Arial"/>
          <w:sz w:val="24"/>
          <w:szCs w:val="24"/>
        </w:rPr>
      </w:pPr>
      <w:r w:rsidRPr="005C573E">
        <w:rPr>
          <w:rFonts w:ascii="Arial" w:hAnsi="Arial" w:cs="Arial"/>
          <w:sz w:val="24"/>
          <w:szCs w:val="24"/>
        </w:rPr>
        <w:t xml:space="preserve">Przedmiotem </w:t>
      </w:r>
      <w:r w:rsidR="006762CA" w:rsidRPr="006762CA">
        <w:rPr>
          <w:rFonts w:ascii="Arial" w:hAnsi="Arial" w:cs="Arial"/>
          <w:sz w:val="24"/>
          <w:szCs w:val="24"/>
        </w:rPr>
        <w:t>umowy</w:t>
      </w:r>
      <w:r w:rsidRPr="005C573E">
        <w:rPr>
          <w:rFonts w:ascii="Arial" w:hAnsi="Arial" w:cs="Arial"/>
          <w:sz w:val="24"/>
          <w:szCs w:val="24"/>
        </w:rPr>
        <w:t xml:space="preserve"> jest realizacja </w:t>
      </w:r>
      <w:r w:rsidR="006762CA" w:rsidRPr="006762CA">
        <w:rPr>
          <w:rFonts w:ascii="Arial" w:hAnsi="Arial" w:cs="Arial"/>
          <w:sz w:val="24"/>
          <w:szCs w:val="24"/>
        </w:rPr>
        <w:t xml:space="preserve">badania </w:t>
      </w:r>
      <w:r w:rsidRPr="005C573E">
        <w:rPr>
          <w:rFonts w:ascii="Arial" w:hAnsi="Arial" w:cs="Arial"/>
          <w:sz w:val="24"/>
          <w:szCs w:val="24"/>
        </w:rPr>
        <w:t xml:space="preserve">i </w:t>
      </w:r>
      <w:r w:rsidR="006762CA" w:rsidRPr="006762CA">
        <w:rPr>
          <w:rFonts w:ascii="Arial" w:hAnsi="Arial" w:cs="Arial"/>
          <w:sz w:val="24"/>
          <w:szCs w:val="24"/>
        </w:rPr>
        <w:t>opracowania raportu</w:t>
      </w:r>
      <w:r w:rsidRPr="005C573E">
        <w:rPr>
          <w:rFonts w:ascii="Arial" w:hAnsi="Arial" w:cs="Arial"/>
          <w:sz w:val="24"/>
          <w:szCs w:val="24"/>
        </w:rPr>
        <w:t xml:space="preserve"> „Prognozowanie zapotrzebowania na kwalifikacje i umiejętności w perspektywie roku 2035” dla Wojewódzkiego Urzędu Pracy w Lublinie, w przedsięwzięciu „Zbudowanie systemu koordynacji i monitorowania regionalnych działań na rzecz kształcenia zawodowego, szkolnictwa wyższego oraz uczenia się przez całe życie, w tym uczenia się dorosłych” w ramach inwestycji A3.1.1 Krajowego Planu Odbudowy i Zwiększania Odporności „Wsparcie rozwoju nowoczesnego kształcenia zawodowego, szkolnictwa wyższego oraz uczenia się przez całe życie”.</w:t>
      </w:r>
    </w:p>
    <w:p w14:paraId="5E477284" w14:textId="77777777" w:rsidR="00576A67" w:rsidRPr="005C573E" w:rsidRDefault="00576A67" w:rsidP="00576A67">
      <w:pPr>
        <w:spacing w:line="23" w:lineRule="atLeast"/>
        <w:jc w:val="both"/>
      </w:pPr>
      <w:r w:rsidRPr="005C573E">
        <w:rPr>
          <w:rFonts w:ascii="Arial" w:hAnsi="Arial" w:cs="Arial"/>
          <w:b/>
          <w:bCs/>
          <w:sz w:val="24"/>
          <w:szCs w:val="24"/>
        </w:rPr>
        <w:t>Użyte w niniejszym Opisie Przedmiotu Zamówienia skróty mają następujące znaczenie</w:t>
      </w:r>
    </w:p>
    <w:p w14:paraId="7601135B" w14:textId="77777777" w:rsidR="00576A67" w:rsidRPr="005C573E" w:rsidRDefault="00576A67" w:rsidP="00576A67">
      <w:pPr>
        <w:suppressAutoHyphens w:val="0"/>
        <w:spacing w:after="0" w:line="23" w:lineRule="atLeast"/>
      </w:pPr>
      <w:r w:rsidRPr="005C573E">
        <w:rPr>
          <w:rFonts w:ascii="Arial" w:eastAsia="SimSun" w:hAnsi="Arial" w:cs="Arial"/>
          <w:b/>
          <w:sz w:val="24"/>
          <w:szCs w:val="24"/>
        </w:rPr>
        <w:t xml:space="preserve">OPZ - </w:t>
      </w:r>
      <w:r w:rsidRPr="005C573E">
        <w:rPr>
          <w:rFonts w:ascii="Arial" w:eastAsia="SimSun" w:hAnsi="Arial" w:cs="Arial"/>
          <w:bCs/>
          <w:sz w:val="24"/>
          <w:szCs w:val="24"/>
        </w:rPr>
        <w:t>opis przedmiotu zamówienia</w:t>
      </w:r>
    </w:p>
    <w:p w14:paraId="22508F5C" w14:textId="77777777" w:rsidR="00576A67" w:rsidRPr="005C573E" w:rsidRDefault="00576A67" w:rsidP="00576A67">
      <w:pPr>
        <w:suppressAutoHyphens w:val="0"/>
        <w:spacing w:after="0" w:line="23" w:lineRule="atLeast"/>
      </w:pPr>
      <w:r w:rsidRPr="005C573E">
        <w:rPr>
          <w:rFonts w:ascii="Arial" w:eastAsia="SimSun" w:hAnsi="Arial" w:cs="Arial"/>
          <w:b/>
          <w:sz w:val="24"/>
          <w:szCs w:val="24"/>
        </w:rPr>
        <w:t xml:space="preserve">GUS - </w:t>
      </w:r>
      <w:r w:rsidRPr="005C573E">
        <w:rPr>
          <w:rFonts w:ascii="Arial" w:eastAsia="SimSun" w:hAnsi="Arial" w:cs="Arial"/>
          <w:bCs/>
          <w:sz w:val="24"/>
          <w:szCs w:val="24"/>
        </w:rPr>
        <w:t>Główny Urząd Statystyczny</w:t>
      </w:r>
      <w:r w:rsidRPr="005C573E">
        <w:rPr>
          <w:rFonts w:ascii="Arial" w:eastAsia="SimSun" w:hAnsi="Arial" w:cs="Arial"/>
          <w:b/>
          <w:sz w:val="24"/>
          <w:szCs w:val="24"/>
        </w:rPr>
        <w:t xml:space="preserve"> </w:t>
      </w:r>
    </w:p>
    <w:p w14:paraId="0798754C" w14:textId="77777777" w:rsidR="00576A67" w:rsidRPr="005C573E" w:rsidRDefault="00576A67" w:rsidP="00576A67">
      <w:pPr>
        <w:suppressAutoHyphens w:val="0"/>
        <w:spacing w:after="0" w:line="23" w:lineRule="atLeast"/>
      </w:pPr>
      <w:r w:rsidRPr="005C573E">
        <w:rPr>
          <w:rFonts w:ascii="Arial" w:eastAsia="SimSun" w:hAnsi="Arial" w:cs="Arial"/>
          <w:b/>
          <w:sz w:val="24"/>
          <w:szCs w:val="24"/>
        </w:rPr>
        <w:lastRenderedPageBreak/>
        <w:t>WL</w:t>
      </w:r>
      <w:r w:rsidRPr="005C573E">
        <w:rPr>
          <w:rFonts w:ascii="Arial" w:eastAsia="SimSun" w:hAnsi="Arial" w:cs="Arial"/>
          <w:bCs/>
          <w:sz w:val="24"/>
          <w:szCs w:val="24"/>
        </w:rPr>
        <w:t xml:space="preserve"> </w:t>
      </w:r>
      <w:r w:rsidRPr="005C573E">
        <w:rPr>
          <w:rFonts w:ascii="Arial" w:eastAsia="SimSun" w:hAnsi="Arial" w:cs="Arial"/>
          <w:b/>
          <w:sz w:val="24"/>
          <w:szCs w:val="24"/>
        </w:rPr>
        <w:t>-</w:t>
      </w:r>
      <w:r w:rsidRPr="005C573E">
        <w:rPr>
          <w:rFonts w:ascii="Arial" w:eastAsia="SimSun" w:hAnsi="Arial" w:cs="Arial"/>
          <w:bCs/>
          <w:sz w:val="24"/>
          <w:szCs w:val="24"/>
        </w:rPr>
        <w:t xml:space="preserve"> Województwo Lubelskie</w:t>
      </w:r>
      <w:r w:rsidRPr="005C573E">
        <w:rPr>
          <w:rFonts w:ascii="Arial" w:eastAsia="SimSun" w:hAnsi="Arial" w:cs="Arial"/>
          <w:b/>
          <w:sz w:val="24"/>
          <w:szCs w:val="24"/>
        </w:rPr>
        <w:t xml:space="preserve"> </w:t>
      </w:r>
    </w:p>
    <w:p w14:paraId="7ED892E9" w14:textId="77777777" w:rsidR="00576A67" w:rsidRPr="005C573E" w:rsidRDefault="00576A67" w:rsidP="00576A67">
      <w:pPr>
        <w:suppressAutoHyphens w:val="0"/>
        <w:spacing w:after="0" w:line="23" w:lineRule="atLeast"/>
      </w:pPr>
      <w:r w:rsidRPr="005C573E">
        <w:rPr>
          <w:rFonts w:ascii="Arial" w:eastAsia="SimSun" w:hAnsi="Arial" w:cs="Arial"/>
          <w:b/>
          <w:sz w:val="24"/>
          <w:szCs w:val="24"/>
        </w:rPr>
        <w:t xml:space="preserve">RSI - </w:t>
      </w:r>
      <w:r w:rsidRPr="005C573E">
        <w:rPr>
          <w:rFonts w:ascii="Arial" w:eastAsia="SimSun" w:hAnsi="Arial" w:cs="Arial"/>
          <w:bCs/>
          <w:sz w:val="24"/>
          <w:szCs w:val="24"/>
        </w:rPr>
        <w:t>Regionalna Strategia Innowacji</w:t>
      </w:r>
      <w:r w:rsidRPr="005C573E">
        <w:rPr>
          <w:rFonts w:ascii="Arial" w:eastAsia="SimSun" w:hAnsi="Arial" w:cs="Arial"/>
          <w:b/>
          <w:sz w:val="24"/>
          <w:szCs w:val="24"/>
        </w:rPr>
        <w:t xml:space="preserve"> </w:t>
      </w:r>
      <w:r w:rsidRPr="005C573E">
        <w:rPr>
          <w:rFonts w:ascii="Arial" w:eastAsia="SimSun" w:hAnsi="Arial" w:cs="Arial"/>
          <w:bCs/>
          <w:sz w:val="24"/>
          <w:szCs w:val="24"/>
        </w:rPr>
        <w:t>Województwa Lubelskiego do 2030 roku</w:t>
      </w:r>
      <w:r w:rsidRPr="005C573E">
        <w:rPr>
          <w:rFonts w:ascii="Arial" w:eastAsia="SimSun" w:hAnsi="Arial" w:cs="Arial"/>
          <w:b/>
          <w:sz w:val="24"/>
          <w:szCs w:val="24"/>
        </w:rPr>
        <w:br/>
      </w:r>
      <w:proofErr w:type="gramStart"/>
      <w:r w:rsidRPr="005C573E">
        <w:rPr>
          <w:rFonts w:ascii="Arial" w:hAnsi="Arial" w:cs="Arial"/>
          <w:b/>
          <w:bCs/>
          <w:sz w:val="24"/>
          <w:szCs w:val="24"/>
        </w:rPr>
        <w:t>IDI  -</w:t>
      </w:r>
      <w:proofErr w:type="gramEnd"/>
      <w:r w:rsidRPr="005C573E">
        <w:rPr>
          <w:rFonts w:ascii="Arial" w:hAnsi="Arial" w:cs="Arial"/>
          <w:b/>
          <w:bCs/>
          <w:sz w:val="24"/>
          <w:szCs w:val="24"/>
        </w:rPr>
        <w:t xml:space="preserve"> </w:t>
      </w:r>
      <w:r w:rsidRPr="005C573E">
        <w:rPr>
          <w:rFonts w:ascii="Arial" w:hAnsi="Arial" w:cs="Arial"/>
          <w:bCs/>
          <w:sz w:val="24"/>
          <w:szCs w:val="24"/>
        </w:rPr>
        <w:t xml:space="preserve">(ang. </w:t>
      </w:r>
      <w:proofErr w:type="spellStart"/>
      <w:r w:rsidRPr="005C573E">
        <w:rPr>
          <w:rFonts w:ascii="Arial" w:hAnsi="Arial" w:cs="Arial"/>
          <w:bCs/>
          <w:sz w:val="24"/>
          <w:szCs w:val="24"/>
        </w:rPr>
        <w:t>Individual</w:t>
      </w:r>
      <w:proofErr w:type="spellEnd"/>
      <w:r w:rsidRPr="005C573E">
        <w:rPr>
          <w:rFonts w:ascii="Arial" w:hAnsi="Arial" w:cs="Arial"/>
          <w:bCs/>
          <w:sz w:val="24"/>
          <w:szCs w:val="24"/>
        </w:rPr>
        <w:t xml:space="preserve"> In-Depth Interview) – indywidualny wywiad pogłębiony</w:t>
      </w:r>
    </w:p>
    <w:p w14:paraId="5588FE96" w14:textId="77777777" w:rsidR="00576A67" w:rsidRPr="005C573E" w:rsidRDefault="00576A67" w:rsidP="00576A67">
      <w:pPr>
        <w:suppressAutoHyphens w:val="0"/>
        <w:spacing w:after="0" w:line="23" w:lineRule="atLeast"/>
      </w:pPr>
      <w:r w:rsidRPr="005C573E">
        <w:rPr>
          <w:rFonts w:ascii="Arial" w:hAnsi="Arial" w:cs="Arial"/>
          <w:b/>
          <w:sz w:val="24"/>
          <w:szCs w:val="24"/>
        </w:rPr>
        <w:t>VR -</w:t>
      </w:r>
      <w:r w:rsidRPr="005C573E">
        <w:rPr>
          <w:rFonts w:ascii="Arial" w:hAnsi="Arial" w:cs="Arial"/>
          <w:bCs/>
          <w:sz w:val="24"/>
          <w:szCs w:val="24"/>
        </w:rPr>
        <w:t xml:space="preserve"> (</w:t>
      </w:r>
      <w:proofErr w:type="spellStart"/>
      <w:r w:rsidRPr="005C573E">
        <w:rPr>
          <w:rFonts w:ascii="Arial" w:hAnsi="Arial" w:cs="Arial"/>
          <w:bCs/>
          <w:sz w:val="24"/>
          <w:szCs w:val="24"/>
        </w:rPr>
        <w:t>virtual</w:t>
      </w:r>
      <w:proofErr w:type="spellEnd"/>
      <w:r w:rsidRPr="005C573E">
        <w:rPr>
          <w:rFonts w:ascii="Arial" w:hAnsi="Arial" w:cs="Arial"/>
          <w:bCs/>
          <w:sz w:val="24"/>
          <w:szCs w:val="24"/>
        </w:rPr>
        <w:t xml:space="preserve"> </w:t>
      </w:r>
      <w:proofErr w:type="spellStart"/>
      <w:r w:rsidRPr="005C573E">
        <w:rPr>
          <w:rStyle w:val="hgkelc"/>
          <w:rFonts w:ascii="Arial" w:hAnsi="Arial" w:cs="Arial"/>
          <w:sz w:val="24"/>
          <w:szCs w:val="24"/>
        </w:rPr>
        <w:t>reality</w:t>
      </w:r>
      <w:proofErr w:type="spellEnd"/>
      <w:r w:rsidRPr="005C573E">
        <w:rPr>
          <w:rStyle w:val="hgkelc"/>
          <w:rFonts w:ascii="Arial" w:hAnsi="Arial" w:cs="Arial"/>
          <w:sz w:val="24"/>
          <w:szCs w:val="24"/>
        </w:rPr>
        <w:t xml:space="preserve">) wirtualna rzeczywistość </w:t>
      </w:r>
    </w:p>
    <w:p w14:paraId="039BA9C5" w14:textId="77777777" w:rsidR="00576A67" w:rsidRPr="005C573E" w:rsidRDefault="00576A67" w:rsidP="00576A67">
      <w:pPr>
        <w:suppressAutoHyphens w:val="0"/>
        <w:spacing w:after="0" w:line="23" w:lineRule="atLeast"/>
      </w:pPr>
      <w:r w:rsidRPr="005C573E">
        <w:rPr>
          <w:rStyle w:val="hgkelc"/>
          <w:rFonts w:ascii="Arial" w:hAnsi="Arial" w:cs="Arial"/>
          <w:b/>
          <w:bCs/>
          <w:sz w:val="24"/>
          <w:szCs w:val="24"/>
        </w:rPr>
        <w:t xml:space="preserve">TIK </w:t>
      </w:r>
      <w:r w:rsidRPr="005C573E">
        <w:rPr>
          <w:rStyle w:val="hgkelc"/>
          <w:rFonts w:ascii="Arial" w:hAnsi="Arial" w:cs="Arial"/>
          <w:sz w:val="24"/>
          <w:szCs w:val="24"/>
        </w:rPr>
        <w:t xml:space="preserve">- technologia informacyjno-komunikacyjna </w:t>
      </w:r>
    </w:p>
    <w:p w14:paraId="05CCA5EA" w14:textId="77777777" w:rsidR="00576A67" w:rsidRPr="005C573E" w:rsidRDefault="00576A67" w:rsidP="00576A67">
      <w:pPr>
        <w:suppressAutoHyphens w:val="0"/>
        <w:spacing w:after="0" w:line="23" w:lineRule="atLeast"/>
      </w:pPr>
      <w:r w:rsidRPr="005C573E">
        <w:rPr>
          <w:rFonts w:ascii="Arial" w:hAnsi="Arial" w:cs="Arial"/>
          <w:b/>
          <w:bCs/>
          <w:sz w:val="24"/>
          <w:szCs w:val="24"/>
        </w:rPr>
        <w:t xml:space="preserve">NBP </w:t>
      </w:r>
      <w:proofErr w:type="gramStart"/>
      <w:r w:rsidRPr="005C573E">
        <w:rPr>
          <w:rFonts w:ascii="Arial" w:hAnsi="Arial" w:cs="Arial"/>
          <w:b/>
          <w:bCs/>
          <w:sz w:val="24"/>
          <w:szCs w:val="24"/>
        </w:rPr>
        <w:t>-</w:t>
      </w:r>
      <w:r w:rsidRPr="005C573E">
        <w:rPr>
          <w:rFonts w:ascii="Arial" w:hAnsi="Arial" w:cs="Arial"/>
          <w:sz w:val="24"/>
          <w:szCs w:val="24"/>
        </w:rPr>
        <w:t xml:space="preserve">  Narodowy</w:t>
      </w:r>
      <w:proofErr w:type="gramEnd"/>
      <w:r w:rsidRPr="005C573E">
        <w:rPr>
          <w:rFonts w:ascii="Arial" w:hAnsi="Arial" w:cs="Arial"/>
          <w:sz w:val="24"/>
          <w:szCs w:val="24"/>
        </w:rPr>
        <w:t xml:space="preserve"> Bank Polski </w:t>
      </w:r>
    </w:p>
    <w:p w14:paraId="1705B017" w14:textId="77777777" w:rsidR="00576A67" w:rsidRPr="005C573E" w:rsidRDefault="00576A67" w:rsidP="00576A67">
      <w:pPr>
        <w:suppressAutoHyphens w:val="0"/>
        <w:spacing w:after="0" w:line="23" w:lineRule="atLeast"/>
      </w:pPr>
      <w:r w:rsidRPr="005C573E">
        <w:rPr>
          <w:rFonts w:ascii="Arial" w:hAnsi="Arial" w:cs="Arial"/>
          <w:b/>
          <w:bCs/>
          <w:sz w:val="24"/>
          <w:szCs w:val="24"/>
        </w:rPr>
        <w:t>ZSU -</w:t>
      </w:r>
      <w:r w:rsidRPr="005C573E">
        <w:rPr>
          <w:rFonts w:ascii="Arial" w:hAnsi="Arial" w:cs="Arial"/>
          <w:sz w:val="24"/>
          <w:szCs w:val="24"/>
        </w:rPr>
        <w:t xml:space="preserve"> Zintegrowana Strategia Umiejętności </w:t>
      </w:r>
    </w:p>
    <w:p w14:paraId="45F42A9C" w14:textId="77777777" w:rsidR="00474EEE" w:rsidRDefault="00576A67" w:rsidP="00474EEE">
      <w:pPr>
        <w:spacing w:after="0" w:line="23" w:lineRule="atLeast"/>
        <w:jc w:val="both"/>
      </w:pPr>
      <w:r w:rsidRPr="005C573E">
        <w:rPr>
          <w:rFonts w:ascii="Arial" w:hAnsi="Arial" w:cs="Arial"/>
          <w:b/>
          <w:bCs/>
          <w:sz w:val="24"/>
          <w:szCs w:val="28"/>
        </w:rPr>
        <w:t>Technika delficka</w:t>
      </w:r>
      <w:r w:rsidRPr="005C573E">
        <w:rPr>
          <w:rFonts w:ascii="Arial" w:hAnsi="Arial" w:cs="Arial"/>
          <w:sz w:val="24"/>
          <w:szCs w:val="28"/>
        </w:rPr>
        <w:t xml:space="preserve"> (ang. Delphi Method) - technika badawcza wykorzystywana do prognozowania zjawisk. W badaniu realizowanym techniką delficką biorą udział eksperci i znawcy przedmiotu (pozostają oni dla siebie anonimowi), do których rozsyłane są ankiety, zawierające pytania dotyczące przyszłych zjawisk i wydarzeń. Zamawiający dopuszcza realizację badania delfickiego z wykorzystaniem ankiety internetowej. Dzięki uzyskanym odpowiedziom następuje zidentyfikowanie zbliżonych poglądów. Opracowane wyniki są ponownie przedstawiane ekspertom (razem z listą anonimowych uwag i uzasadnieniem propozycji). Eksperci rozważają problem w kolejnych rundach, podczas których uzyskuje się względnie jednolite opinie na dany temat (prognozy).</w:t>
      </w:r>
      <w:r w:rsidRPr="005C573E">
        <w:br/>
      </w:r>
      <w:r w:rsidRPr="005C573E">
        <w:rPr>
          <w:rFonts w:ascii="Arial" w:hAnsi="Arial" w:cs="Arial"/>
          <w:b/>
          <w:bCs/>
          <w:sz w:val="24"/>
          <w:szCs w:val="28"/>
        </w:rPr>
        <w:t xml:space="preserve">Opracowanie dotyczące rynku pracy </w:t>
      </w:r>
      <w:r w:rsidRPr="005C573E">
        <w:rPr>
          <w:rFonts w:ascii="Arial" w:hAnsi="Arial" w:cs="Arial"/>
          <w:bCs/>
          <w:sz w:val="24"/>
          <w:szCs w:val="28"/>
        </w:rPr>
        <w:t xml:space="preserve">- analiza, która przedstawia historyczną, aktualną lub prognostyczną sytuację na powiatowym, regionalnym lub krajowym rynku pracy, zawierającą wyniki badań wśród co najmniej jednej grupy: przedsiębiorców, pracodawców, osób zatrudnionych, osób bezrobotnych, osób biernych zawodowo, osób poszukujących pracy, instytucji rynku pracy. </w:t>
      </w:r>
    </w:p>
    <w:p w14:paraId="7002CF1A" w14:textId="20966D84" w:rsidR="00576A67" w:rsidRPr="005C573E" w:rsidRDefault="00576A67" w:rsidP="00474EEE">
      <w:pPr>
        <w:spacing w:line="23" w:lineRule="atLeast"/>
        <w:jc w:val="both"/>
      </w:pPr>
      <w:r w:rsidRPr="005C573E">
        <w:rPr>
          <w:rFonts w:ascii="Arial" w:hAnsi="Arial" w:cs="Arial"/>
          <w:b/>
          <w:bCs/>
          <w:sz w:val="24"/>
          <w:szCs w:val="24"/>
        </w:rPr>
        <w:t>Data umowy</w:t>
      </w:r>
      <w:r w:rsidRPr="005C573E">
        <w:rPr>
          <w:rFonts w:ascii="Arial" w:hAnsi="Arial" w:cs="Arial"/>
          <w:bCs/>
          <w:sz w:val="24"/>
          <w:szCs w:val="24"/>
        </w:rPr>
        <w:t xml:space="preserve"> – data zawarcia wskazana w komparycji umowy podpisanej z wybranym Wykonawcą</w:t>
      </w:r>
    </w:p>
    <w:p w14:paraId="36D0186C" w14:textId="77777777" w:rsidR="00576A67" w:rsidRPr="005C573E" w:rsidRDefault="00576A67" w:rsidP="00576A67">
      <w:pPr>
        <w:pStyle w:val="Akapitzlist"/>
        <w:numPr>
          <w:ilvl w:val="0"/>
          <w:numId w:val="1"/>
        </w:numPr>
        <w:suppressAutoHyphens w:val="0"/>
        <w:spacing w:after="0" w:line="23" w:lineRule="atLeast"/>
        <w:jc w:val="both"/>
      </w:pPr>
      <w:r w:rsidRPr="00474EEE">
        <w:rPr>
          <w:rFonts w:ascii="Arial" w:hAnsi="Arial" w:cs="Arial"/>
          <w:b/>
          <w:bCs/>
          <w:kern w:val="0"/>
          <w:sz w:val="24"/>
          <w:szCs w:val="24"/>
        </w:rPr>
        <w:t>Ce</w:t>
      </w:r>
      <w:r w:rsidRPr="005C573E">
        <w:rPr>
          <w:rFonts w:ascii="Arial" w:hAnsi="Arial" w:cs="Arial"/>
          <w:b/>
          <w:bCs/>
          <w:kern w:val="0"/>
          <w:sz w:val="24"/>
          <w:szCs w:val="24"/>
        </w:rPr>
        <w:t xml:space="preserve">l główny badania i cele szczegółowe </w:t>
      </w:r>
    </w:p>
    <w:p w14:paraId="6845CA5D" w14:textId="77777777" w:rsidR="00576A67" w:rsidRPr="005C573E" w:rsidRDefault="00576A67" w:rsidP="00576A67">
      <w:pPr>
        <w:suppressAutoHyphens w:val="0"/>
        <w:spacing w:before="100" w:line="23" w:lineRule="atLeast"/>
        <w:jc w:val="both"/>
      </w:pPr>
      <w:r w:rsidRPr="005C573E">
        <w:rPr>
          <w:rFonts w:ascii="Arial" w:hAnsi="Arial" w:cs="Arial"/>
          <w:b/>
          <w:bCs/>
          <w:sz w:val="24"/>
          <w:szCs w:val="24"/>
        </w:rPr>
        <w:t>Cel główny badania:</w:t>
      </w:r>
      <w:r w:rsidRPr="005C573E">
        <w:rPr>
          <w:rFonts w:ascii="Arial" w:hAnsi="Arial" w:cs="Arial"/>
          <w:sz w:val="24"/>
          <w:szCs w:val="24"/>
        </w:rPr>
        <w:t xml:space="preserve"> Ustalenie </w:t>
      </w:r>
      <w:r w:rsidRPr="005C573E">
        <w:rPr>
          <w:rFonts w:ascii="Arial" w:eastAsia="Times New Roman" w:hAnsi="Arial" w:cs="Arial"/>
          <w:iCs/>
          <w:sz w:val="24"/>
          <w:szCs w:val="24"/>
        </w:rPr>
        <w:t>zapotrzebowania na kwalifikacje i umiejętności w województwie lubelskim w perspektywie roku 2035 w oparciu o obszary inteligentnych specjalizacji określone w Regionalnej Strategii Innowacji dla Województwa Lubelskiego do 2030 roku</w:t>
      </w:r>
      <w:r w:rsidRPr="005C573E">
        <w:rPr>
          <w:rFonts w:ascii="Arial" w:hAnsi="Arial" w:cs="Arial"/>
          <w:iCs/>
          <w:sz w:val="24"/>
          <w:szCs w:val="24"/>
        </w:rPr>
        <w:t>, w kontekście możliwych czynników wpływu na rynek pracy.</w:t>
      </w:r>
    </w:p>
    <w:p w14:paraId="58713789" w14:textId="77777777" w:rsidR="00576A67" w:rsidRPr="005C573E" w:rsidRDefault="00576A67" w:rsidP="00576A67">
      <w:pPr>
        <w:suppressAutoHyphens w:val="0"/>
        <w:spacing w:line="23" w:lineRule="atLeast"/>
        <w:jc w:val="both"/>
        <w:rPr>
          <w:rFonts w:ascii="Arial" w:hAnsi="Arial" w:cs="Arial"/>
          <w:b/>
          <w:bCs/>
          <w:sz w:val="24"/>
          <w:szCs w:val="24"/>
        </w:rPr>
      </w:pPr>
      <w:r w:rsidRPr="005C573E">
        <w:rPr>
          <w:rFonts w:ascii="Arial" w:hAnsi="Arial" w:cs="Arial"/>
          <w:b/>
          <w:bCs/>
          <w:sz w:val="24"/>
          <w:szCs w:val="24"/>
        </w:rPr>
        <w:t>Cele szczegółowe:</w:t>
      </w:r>
    </w:p>
    <w:p w14:paraId="0A6C763D" w14:textId="77777777" w:rsidR="00576A67" w:rsidRPr="005C573E" w:rsidRDefault="00576A67" w:rsidP="00576A67">
      <w:pPr>
        <w:numPr>
          <w:ilvl w:val="0"/>
          <w:numId w:val="3"/>
        </w:numPr>
        <w:suppressAutoHyphens w:val="0"/>
        <w:spacing w:after="0" w:line="23" w:lineRule="atLeast"/>
        <w:jc w:val="both"/>
        <w:rPr>
          <w:rFonts w:ascii="Arial" w:hAnsi="Arial" w:cs="Arial"/>
          <w:kern w:val="0"/>
          <w:sz w:val="24"/>
          <w:szCs w:val="24"/>
          <w:lang w:eastAsia="pl-PL"/>
        </w:rPr>
      </w:pPr>
      <w:r w:rsidRPr="005C573E">
        <w:rPr>
          <w:rFonts w:ascii="Arial" w:hAnsi="Arial" w:cs="Arial"/>
          <w:kern w:val="0"/>
          <w:sz w:val="24"/>
          <w:szCs w:val="24"/>
          <w:lang w:eastAsia="pl-PL"/>
        </w:rPr>
        <w:t>określenie trendów dotyczących zapotrzebowania na kompetencje i kwalifikacje w każdym z pięciu zidentyfikowanych obszarów inteligentnych specjalizacji w województwie lubelskim w perspektywie 2035 r.,</w:t>
      </w:r>
    </w:p>
    <w:p w14:paraId="7E00B21C" w14:textId="77777777" w:rsidR="00576A67" w:rsidRPr="005C573E" w:rsidRDefault="00576A67" w:rsidP="00576A67">
      <w:pPr>
        <w:numPr>
          <w:ilvl w:val="0"/>
          <w:numId w:val="3"/>
        </w:numPr>
        <w:suppressAutoHyphens w:val="0"/>
        <w:spacing w:after="0" w:line="23" w:lineRule="atLeast"/>
        <w:jc w:val="both"/>
        <w:rPr>
          <w:rFonts w:ascii="Arial" w:hAnsi="Arial" w:cs="Arial"/>
          <w:kern w:val="0"/>
          <w:sz w:val="24"/>
          <w:szCs w:val="24"/>
          <w:lang w:eastAsia="pl-PL"/>
        </w:rPr>
      </w:pPr>
      <w:r w:rsidRPr="005C573E">
        <w:rPr>
          <w:rFonts w:ascii="Arial" w:hAnsi="Arial" w:cs="Arial"/>
          <w:kern w:val="0"/>
          <w:sz w:val="24"/>
          <w:szCs w:val="24"/>
          <w:lang w:eastAsia="pl-PL"/>
        </w:rPr>
        <w:t xml:space="preserve">wskazanie regionalnych branż z najwyższym potencjałem zatrudnieniowym w kontekście inteligentnych specjalizacji wskazanych w RSI, </w:t>
      </w:r>
    </w:p>
    <w:p w14:paraId="7BBDE5F6" w14:textId="77777777" w:rsidR="00576A67" w:rsidRPr="005C573E" w:rsidRDefault="00576A67" w:rsidP="00576A67">
      <w:pPr>
        <w:numPr>
          <w:ilvl w:val="0"/>
          <w:numId w:val="3"/>
        </w:numPr>
        <w:suppressAutoHyphens w:val="0"/>
        <w:spacing w:after="0" w:line="23" w:lineRule="atLeast"/>
        <w:jc w:val="both"/>
        <w:rPr>
          <w:rFonts w:ascii="Arial" w:hAnsi="Arial" w:cs="Arial"/>
          <w:kern w:val="0"/>
          <w:sz w:val="24"/>
          <w:szCs w:val="24"/>
          <w:lang w:eastAsia="pl-PL"/>
        </w:rPr>
      </w:pPr>
      <w:r w:rsidRPr="005C573E">
        <w:rPr>
          <w:rFonts w:ascii="Arial" w:hAnsi="Arial" w:cs="Arial"/>
          <w:kern w:val="0"/>
          <w:sz w:val="24"/>
          <w:szCs w:val="24"/>
          <w:lang w:eastAsia="pl-PL"/>
        </w:rPr>
        <w:t xml:space="preserve">określenie rodzajów kompetencji oraz formalnych kwalifikacji, na które zwiększy się zapotrzebowanie w perspektywie 2035 r. (MAPOWANIE KOMPETENCJI), </w:t>
      </w:r>
    </w:p>
    <w:p w14:paraId="3F2C1012" w14:textId="77777777" w:rsidR="00576A67" w:rsidRPr="005C573E" w:rsidRDefault="00576A67" w:rsidP="00576A67">
      <w:pPr>
        <w:numPr>
          <w:ilvl w:val="0"/>
          <w:numId w:val="3"/>
        </w:numPr>
        <w:suppressAutoHyphens w:val="0"/>
        <w:spacing w:after="0" w:line="23" w:lineRule="atLeast"/>
        <w:jc w:val="both"/>
        <w:rPr>
          <w:rFonts w:ascii="Arial" w:hAnsi="Arial" w:cs="Arial"/>
          <w:kern w:val="0"/>
          <w:sz w:val="24"/>
          <w:szCs w:val="24"/>
          <w:lang w:eastAsia="pl-PL"/>
        </w:rPr>
      </w:pPr>
      <w:r w:rsidRPr="005C573E">
        <w:rPr>
          <w:rFonts w:ascii="Arial" w:hAnsi="Arial" w:cs="Arial"/>
          <w:kern w:val="0"/>
          <w:sz w:val="24"/>
          <w:szCs w:val="24"/>
          <w:lang w:eastAsia="pl-PL"/>
        </w:rPr>
        <w:t xml:space="preserve">określenie rodzajów kompetencji oraz formalnych kwalifikacji, na które zmniejszy się zapotrzebowanie w perspektywie 2035 r., </w:t>
      </w:r>
    </w:p>
    <w:p w14:paraId="18714634" w14:textId="77777777" w:rsidR="00576A67" w:rsidRPr="005C573E" w:rsidRDefault="00576A67" w:rsidP="00576A67">
      <w:pPr>
        <w:numPr>
          <w:ilvl w:val="0"/>
          <w:numId w:val="3"/>
        </w:numPr>
        <w:suppressAutoHyphens w:val="0"/>
        <w:spacing w:after="0" w:line="23" w:lineRule="atLeast"/>
        <w:jc w:val="both"/>
        <w:rPr>
          <w:rFonts w:ascii="Arial" w:hAnsi="Arial" w:cs="Arial"/>
          <w:kern w:val="0"/>
          <w:sz w:val="24"/>
          <w:szCs w:val="24"/>
          <w:lang w:eastAsia="pl-PL"/>
        </w:rPr>
      </w:pPr>
      <w:r w:rsidRPr="005C573E">
        <w:rPr>
          <w:rFonts w:ascii="Arial" w:hAnsi="Arial" w:cs="Arial"/>
          <w:kern w:val="0"/>
          <w:sz w:val="24"/>
          <w:szCs w:val="24"/>
          <w:lang w:eastAsia="pl-PL"/>
        </w:rPr>
        <w:t>określenie rodzajów kompetencji oraz formalnych kwalifikacji, na które zapotrzebowanie w perspektywie 2035 r. nie zmieni się,</w:t>
      </w:r>
    </w:p>
    <w:p w14:paraId="4C9EED31" w14:textId="77777777" w:rsidR="00576A67" w:rsidRPr="005C573E" w:rsidRDefault="00576A67" w:rsidP="00576A67">
      <w:pPr>
        <w:numPr>
          <w:ilvl w:val="0"/>
          <w:numId w:val="3"/>
        </w:numPr>
        <w:suppressAutoHyphens w:val="0"/>
        <w:spacing w:after="0" w:line="23" w:lineRule="atLeast"/>
        <w:jc w:val="both"/>
        <w:rPr>
          <w:rFonts w:ascii="Arial" w:hAnsi="Arial" w:cs="Arial"/>
          <w:kern w:val="0"/>
          <w:sz w:val="24"/>
          <w:szCs w:val="24"/>
          <w:lang w:eastAsia="pl-PL"/>
        </w:rPr>
      </w:pPr>
      <w:r w:rsidRPr="005C573E">
        <w:rPr>
          <w:rFonts w:ascii="Arial" w:hAnsi="Arial" w:cs="Arial"/>
          <w:kern w:val="0"/>
          <w:sz w:val="24"/>
          <w:szCs w:val="24"/>
          <w:lang w:eastAsia="pl-PL"/>
        </w:rPr>
        <w:t>określenie rodzajów kompetencji oraz formalnych kwalifikacji, na które zapotrzebowanie dopiero się pojawi, w okresie do 2035 r.</w:t>
      </w:r>
    </w:p>
    <w:p w14:paraId="07FE4267" w14:textId="77777777" w:rsidR="00576A67" w:rsidRPr="005C573E" w:rsidRDefault="00576A67" w:rsidP="00576A67">
      <w:pPr>
        <w:numPr>
          <w:ilvl w:val="0"/>
          <w:numId w:val="3"/>
        </w:numPr>
        <w:suppressAutoHyphens w:val="0"/>
        <w:spacing w:after="0" w:line="23" w:lineRule="atLeast"/>
        <w:jc w:val="both"/>
        <w:rPr>
          <w:rFonts w:ascii="Arial" w:hAnsi="Arial" w:cs="Arial"/>
          <w:kern w:val="0"/>
          <w:sz w:val="24"/>
          <w:szCs w:val="24"/>
          <w:lang w:eastAsia="pl-PL"/>
        </w:rPr>
      </w:pPr>
      <w:r w:rsidRPr="005C573E">
        <w:rPr>
          <w:rFonts w:ascii="Arial" w:hAnsi="Arial" w:cs="Arial"/>
          <w:kern w:val="0"/>
          <w:sz w:val="24"/>
          <w:szCs w:val="24"/>
          <w:lang w:eastAsia="pl-PL"/>
        </w:rPr>
        <w:t>określenie kierunków i sposobów rozwoju kształcenia kompetencji oraz zdobywania kwalifikacji w regionie lubelskim (rekomendacje organizacyjne i merytoryczne), na które zwiększy się zapotrzebowanie do 2035 r.,</w:t>
      </w:r>
    </w:p>
    <w:p w14:paraId="4046157A" w14:textId="77777777" w:rsidR="00576A67" w:rsidRPr="005C573E" w:rsidRDefault="00576A67" w:rsidP="00576A67">
      <w:pPr>
        <w:numPr>
          <w:ilvl w:val="0"/>
          <w:numId w:val="3"/>
        </w:numPr>
        <w:suppressAutoHyphens w:val="0"/>
        <w:spacing w:after="0" w:line="23" w:lineRule="atLeast"/>
        <w:jc w:val="both"/>
        <w:rPr>
          <w:rFonts w:ascii="Arial" w:hAnsi="Arial" w:cs="Arial"/>
          <w:kern w:val="0"/>
          <w:sz w:val="24"/>
          <w:szCs w:val="24"/>
          <w:lang w:eastAsia="pl-PL"/>
        </w:rPr>
      </w:pPr>
      <w:r w:rsidRPr="005C573E">
        <w:rPr>
          <w:rFonts w:ascii="Arial" w:hAnsi="Arial" w:cs="Arial"/>
          <w:kern w:val="0"/>
          <w:sz w:val="24"/>
          <w:szCs w:val="24"/>
          <w:lang w:eastAsia="pl-PL"/>
        </w:rPr>
        <w:t>określenie czynników wpływu na wzrost/spadek zapotrzebowania na określone kompetencje oraz formalne kwalifikacje w poszczególnych obszarach, w badanej perspektywie czasowej.</w:t>
      </w:r>
    </w:p>
    <w:p w14:paraId="5BB2BBAA" w14:textId="77777777" w:rsidR="00576A67" w:rsidRPr="005C573E" w:rsidRDefault="00576A67" w:rsidP="00576A67">
      <w:pPr>
        <w:suppressAutoHyphens w:val="0"/>
        <w:spacing w:after="0" w:line="23" w:lineRule="atLeast"/>
        <w:ind w:left="720"/>
        <w:jc w:val="both"/>
        <w:rPr>
          <w:rFonts w:ascii="Arial" w:hAnsi="Arial" w:cs="Arial"/>
          <w:kern w:val="0"/>
          <w:sz w:val="24"/>
          <w:szCs w:val="24"/>
          <w:lang w:eastAsia="pl-PL"/>
        </w:rPr>
      </w:pPr>
    </w:p>
    <w:p w14:paraId="72D65A7F" w14:textId="77777777" w:rsidR="00576A67" w:rsidRPr="005C573E" w:rsidRDefault="00576A67" w:rsidP="00576A67">
      <w:pPr>
        <w:pStyle w:val="Akapitzlist"/>
        <w:numPr>
          <w:ilvl w:val="0"/>
          <w:numId w:val="1"/>
        </w:numPr>
        <w:spacing w:line="23" w:lineRule="atLeast"/>
        <w:jc w:val="both"/>
        <w:rPr>
          <w:rFonts w:ascii="Arial" w:hAnsi="Arial" w:cs="Arial"/>
          <w:b/>
          <w:bCs/>
          <w:sz w:val="24"/>
          <w:szCs w:val="28"/>
        </w:rPr>
      </w:pPr>
      <w:r w:rsidRPr="005C573E">
        <w:rPr>
          <w:rFonts w:ascii="Arial" w:hAnsi="Arial" w:cs="Arial"/>
          <w:b/>
          <w:bCs/>
          <w:sz w:val="24"/>
          <w:szCs w:val="28"/>
        </w:rPr>
        <w:t>Metodyka badania:</w:t>
      </w:r>
    </w:p>
    <w:p w14:paraId="245AB000" w14:textId="3279A6F5" w:rsidR="00576A67" w:rsidRPr="00BD5914" w:rsidRDefault="00576A67" w:rsidP="00576A67">
      <w:pPr>
        <w:spacing w:line="23" w:lineRule="atLeast"/>
        <w:jc w:val="both"/>
        <w:rPr>
          <w:rFonts w:ascii="Arial" w:hAnsi="Arial" w:cs="Arial"/>
          <w:sz w:val="24"/>
          <w:szCs w:val="28"/>
        </w:rPr>
      </w:pPr>
      <w:r w:rsidRPr="005C573E">
        <w:rPr>
          <w:rFonts w:ascii="Arial" w:hAnsi="Arial" w:cs="Arial"/>
          <w:sz w:val="24"/>
          <w:szCs w:val="28"/>
        </w:rPr>
        <w:t xml:space="preserve">W ramach badania przeprowadzona zostanie analiza danych zastanych, badania jakościowe oraz badanie delfickie. W badaniu wykorzystane zostaną </w:t>
      </w:r>
      <w:r w:rsidR="00076AE7" w:rsidRPr="00BD5914">
        <w:rPr>
          <w:rFonts w:ascii="Arial" w:hAnsi="Arial" w:cs="Arial"/>
          <w:sz w:val="24"/>
          <w:szCs w:val="28"/>
        </w:rPr>
        <w:t>techniki</w:t>
      </w:r>
      <w:r w:rsidRPr="00BD5914">
        <w:rPr>
          <w:rFonts w:ascii="Arial" w:hAnsi="Arial" w:cs="Arial"/>
          <w:sz w:val="24"/>
          <w:szCs w:val="28"/>
        </w:rPr>
        <w:t>:</w:t>
      </w:r>
    </w:p>
    <w:p w14:paraId="461EBF33" w14:textId="77777777" w:rsidR="00576A67" w:rsidRPr="005C573E" w:rsidRDefault="00576A67" w:rsidP="00576A67">
      <w:pPr>
        <w:pStyle w:val="Akapitzlist"/>
        <w:numPr>
          <w:ilvl w:val="0"/>
          <w:numId w:val="4"/>
        </w:numPr>
        <w:spacing w:line="23" w:lineRule="atLeast"/>
        <w:jc w:val="both"/>
        <w:rPr>
          <w:rFonts w:ascii="Arial" w:hAnsi="Arial" w:cs="Arial"/>
          <w:b/>
          <w:sz w:val="24"/>
          <w:szCs w:val="28"/>
        </w:rPr>
      </w:pPr>
      <w:r w:rsidRPr="005C573E">
        <w:rPr>
          <w:rFonts w:ascii="Arial" w:hAnsi="Arial" w:cs="Arial"/>
          <w:b/>
          <w:sz w:val="24"/>
          <w:szCs w:val="28"/>
        </w:rPr>
        <w:lastRenderedPageBreak/>
        <w:t>Analiza danych zastanych.</w:t>
      </w:r>
    </w:p>
    <w:p w14:paraId="2499E125" w14:textId="77777777" w:rsidR="00576A67" w:rsidRPr="005C573E" w:rsidRDefault="00576A67" w:rsidP="00576A67">
      <w:pPr>
        <w:pStyle w:val="Akapitzlist"/>
        <w:numPr>
          <w:ilvl w:val="0"/>
          <w:numId w:val="4"/>
        </w:numPr>
        <w:spacing w:line="23" w:lineRule="atLeast"/>
        <w:jc w:val="both"/>
        <w:rPr>
          <w:rFonts w:ascii="Arial" w:hAnsi="Arial" w:cs="Arial"/>
          <w:b/>
          <w:sz w:val="24"/>
          <w:szCs w:val="28"/>
        </w:rPr>
      </w:pPr>
      <w:r w:rsidRPr="005C573E">
        <w:rPr>
          <w:rFonts w:ascii="Arial" w:hAnsi="Arial" w:cs="Arial"/>
          <w:b/>
          <w:sz w:val="24"/>
          <w:szCs w:val="28"/>
        </w:rPr>
        <w:t>Indywidualne wywiady pogłębione – zakończone opracowaniem raportu śródokresowego.</w:t>
      </w:r>
    </w:p>
    <w:p w14:paraId="3E5F0535" w14:textId="77777777" w:rsidR="00576A67" w:rsidRPr="00DF1B09" w:rsidRDefault="00576A67" w:rsidP="00576A67">
      <w:pPr>
        <w:pStyle w:val="Akapitzlist"/>
        <w:numPr>
          <w:ilvl w:val="0"/>
          <w:numId w:val="4"/>
        </w:numPr>
        <w:spacing w:line="23" w:lineRule="atLeast"/>
        <w:jc w:val="both"/>
        <w:rPr>
          <w:rFonts w:ascii="Arial" w:hAnsi="Arial" w:cs="Arial"/>
          <w:b/>
          <w:bCs/>
          <w:sz w:val="24"/>
          <w:szCs w:val="28"/>
        </w:rPr>
      </w:pPr>
      <w:r w:rsidRPr="00DF1B09">
        <w:rPr>
          <w:rFonts w:ascii="Arial" w:hAnsi="Arial" w:cs="Arial"/>
          <w:b/>
          <w:bCs/>
          <w:sz w:val="24"/>
          <w:szCs w:val="28"/>
        </w:rPr>
        <w:t xml:space="preserve">Technika delficka z udziałem min. 35 ekspertów (minimum 2 rundy badania z kwestionariuszem ankiety): </w:t>
      </w:r>
    </w:p>
    <w:p w14:paraId="5E57A801" w14:textId="77777777" w:rsidR="00576A67" w:rsidRPr="005C573E" w:rsidRDefault="00576A67" w:rsidP="00576A67">
      <w:pPr>
        <w:pStyle w:val="Akapitzlist"/>
        <w:numPr>
          <w:ilvl w:val="0"/>
          <w:numId w:val="5"/>
        </w:numPr>
        <w:spacing w:line="23" w:lineRule="atLeast"/>
        <w:jc w:val="both"/>
        <w:rPr>
          <w:rFonts w:ascii="Arial" w:hAnsi="Arial" w:cs="Arial"/>
          <w:sz w:val="24"/>
          <w:szCs w:val="28"/>
        </w:rPr>
      </w:pPr>
      <w:r w:rsidRPr="005C573E">
        <w:rPr>
          <w:rFonts w:ascii="Arial" w:hAnsi="Arial" w:cs="Arial"/>
          <w:sz w:val="24"/>
          <w:szCs w:val="28"/>
        </w:rPr>
        <w:t>Pierwsza runda badania z kwestionariuszem ankiety, analiza wyników,</w:t>
      </w:r>
    </w:p>
    <w:p w14:paraId="63D521D3" w14:textId="26DC9262" w:rsidR="00576A67" w:rsidRPr="005C573E" w:rsidRDefault="00576A67" w:rsidP="00576A67">
      <w:pPr>
        <w:pStyle w:val="Akapitzlist"/>
        <w:numPr>
          <w:ilvl w:val="0"/>
          <w:numId w:val="5"/>
        </w:numPr>
        <w:spacing w:line="23" w:lineRule="atLeast"/>
        <w:jc w:val="both"/>
        <w:rPr>
          <w:rFonts w:ascii="Arial" w:hAnsi="Arial" w:cs="Arial"/>
          <w:sz w:val="24"/>
          <w:szCs w:val="28"/>
        </w:rPr>
      </w:pPr>
      <w:r w:rsidRPr="005C573E">
        <w:rPr>
          <w:rFonts w:ascii="Arial" w:hAnsi="Arial" w:cs="Arial"/>
          <w:sz w:val="24"/>
          <w:szCs w:val="28"/>
        </w:rPr>
        <w:t>Druga runda badania, analiza wyników, opracowanie końcowego raportu analitycznego (</w:t>
      </w:r>
      <w:r w:rsidRPr="00BD5914">
        <w:rPr>
          <w:rFonts w:ascii="Arial" w:hAnsi="Arial" w:cs="Arial"/>
          <w:sz w:val="24"/>
          <w:szCs w:val="28"/>
        </w:rPr>
        <w:t xml:space="preserve">po </w:t>
      </w:r>
      <w:r w:rsidR="00992135" w:rsidRPr="00BD5914">
        <w:rPr>
          <w:rFonts w:ascii="Arial" w:hAnsi="Arial" w:cs="Arial"/>
          <w:sz w:val="24"/>
          <w:szCs w:val="28"/>
        </w:rPr>
        <w:t>ostatniej</w:t>
      </w:r>
      <w:r w:rsidRPr="00BD5914">
        <w:rPr>
          <w:rFonts w:ascii="Arial" w:hAnsi="Arial" w:cs="Arial"/>
          <w:sz w:val="24"/>
          <w:szCs w:val="28"/>
        </w:rPr>
        <w:t xml:space="preserve"> </w:t>
      </w:r>
      <w:r w:rsidRPr="005C573E">
        <w:rPr>
          <w:rFonts w:ascii="Arial" w:hAnsi="Arial" w:cs="Arial"/>
          <w:sz w:val="24"/>
          <w:szCs w:val="28"/>
        </w:rPr>
        <w:t xml:space="preserve">rundzie). </w:t>
      </w:r>
    </w:p>
    <w:p w14:paraId="027F9856" w14:textId="77777777" w:rsidR="00576A67" w:rsidRPr="005C573E" w:rsidRDefault="00576A67" w:rsidP="00576A67">
      <w:pPr>
        <w:pStyle w:val="Akapitzlist"/>
        <w:spacing w:line="23" w:lineRule="atLeast"/>
        <w:ind w:left="1080"/>
        <w:jc w:val="both"/>
      </w:pPr>
      <w:r w:rsidRPr="005C573E">
        <w:rPr>
          <w:rFonts w:ascii="Arial" w:hAnsi="Arial" w:cs="Arial"/>
          <w:b/>
          <w:sz w:val="24"/>
          <w:szCs w:val="28"/>
        </w:rPr>
        <w:t xml:space="preserve">Właściwa liczba uczestników badania delfickiego i liczba rund badania w ramach badania delfickiego zostanie wskazana w umowie, zgodnie z przedłożoną przez Wykonawcę ofertą. </w:t>
      </w:r>
    </w:p>
    <w:p w14:paraId="7403D84E" w14:textId="77777777" w:rsidR="00576A67" w:rsidRPr="005C573E" w:rsidRDefault="00576A67" w:rsidP="00576A67">
      <w:pPr>
        <w:spacing w:line="23" w:lineRule="atLeast"/>
        <w:jc w:val="both"/>
        <w:rPr>
          <w:rFonts w:ascii="Arial" w:hAnsi="Arial" w:cs="Arial"/>
          <w:sz w:val="24"/>
          <w:szCs w:val="28"/>
        </w:rPr>
      </w:pPr>
      <w:r w:rsidRPr="005C573E">
        <w:rPr>
          <w:rFonts w:ascii="Arial" w:hAnsi="Arial" w:cs="Arial"/>
          <w:sz w:val="24"/>
          <w:szCs w:val="28"/>
        </w:rPr>
        <w:t>W celu sprawnej i terminowej realizacji badania Wykonawca powinien uwzględnić wszystkie koszty rekrutacji i realizacji wywiadów, w tym rekompensaty/honoraria/zestawy podarunkowe dla ekspertów.</w:t>
      </w:r>
    </w:p>
    <w:p w14:paraId="528E29F7" w14:textId="77777777" w:rsidR="00576A67" w:rsidRPr="005C573E" w:rsidRDefault="00576A67" w:rsidP="00576A67">
      <w:pPr>
        <w:spacing w:line="23" w:lineRule="atLeast"/>
        <w:jc w:val="both"/>
        <w:rPr>
          <w:rFonts w:ascii="Arial" w:hAnsi="Arial" w:cs="Arial"/>
          <w:sz w:val="24"/>
          <w:szCs w:val="28"/>
        </w:rPr>
      </w:pPr>
      <w:r w:rsidRPr="005C573E">
        <w:rPr>
          <w:rFonts w:ascii="Arial" w:hAnsi="Arial" w:cs="Arial"/>
          <w:sz w:val="24"/>
          <w:szCs w:val="28"/>
        </w:rPr>
        <w:t xml:space="preserve">Zamawiający nie udostępnia bazy ekspertów. Wykonawca przedstawia proponowaną listę ekspertów – respondentów w raporcie metodycznym, która musi zawierać więcej osób niż założona liczba ekspertów m.in. na wypadek rezygnacji respondentów. Eksperci muszą reprezentować zróżnicowane punkty widzenia na badane zagadnienia wynikające z różnic w zakresie doświadczenia. </w:t>
      </w:r>
    </w:p>
    <w:p w14:paraId="32ECBC6D" w14:textId="713BE267" w:rsidR="00576A67" w:rsidRPr="005C573E" w:rsidRDefault="00576A67" w:rsidP="00576A67">
      <w:pPr>
        <w:spacing w:line="23" w:lineRule="atLeast"/>
        <w:jc w:val="both"/>
      </w:pPr>
      <w:r w:rsidRPr="005C573E">
        <w:rPr>
          <w:rFonts w:ascii="Arial" w:hAnsi="Arial" w:cs="Arial"/>
          <w:sz w:val="24"/>
          <w:szCs w:val="28"/>
        </w:rPr>
        <w:t>Ekspert w etapie wywiadów indywidualnych</w:t>
      </w:r>
      <w:r w:rsidR="00302F07">
        <w:rPr>
          <w:rFonts w:ascii="Arial" w:hAnsi="Arial" w:cs="Arial"/>
          <w:sz w:val="24"/>
          <w:szCs w:val="28"/>
        </w:rPr>
        <w:t xml:space="preserve"> </w:t>
      </w:r>
      <w:r w:rsidRPr="005C573E">
        <w:rPr>
          <w:rFonts w:ascii="Arial" w:hAnsi="Arial" w:cs="Arial"/>
          <w:sz w:val="24"/>
          <w:szCs w:val="28"/>
        </w:rPr>
        <w:t xml:space="preserve">– osoba, która wykazuje się wiedzą oraz co najmniej 5-letnim doświadczeniem zawodowym lub eksperckim w specjalizacji podlegającej badaniu </w:t>
      </w:r>
      <w:r w:rsidRPr="005C573E">
        <w:rPr>
          <w:rFonts w:ascii="Arial" w:hAnsi="Arial" w:cs="Arial"/>
          <w:b/>
          <w:bCs/>
          <w:sz w:val="24"/>
          <w:szCs w:val="24"/>
        </w:rPr>
        <w:t>w kontekście województwa lubelskiego</w:t>
      </w:r>
      <w:r w:rsidRPr="005C573E">
        <w:rPr>
          <w:rFonts w:ascii="Arial" w:hAnsi="Arial" w:cs="Arial"/>
          <w:sz w:val="24"/>
          <w:szCs w:val="24"/>
        </w:rPr>
        <w:t>, umożliwiając</w:t>
      </w:r>
      <w:r w:rsidR="00C759DE">
        <w:rPr>
          <w:rFonts w:ascii="Arial" w:hAnsi="Arial" w:cs="Arial"/>
          <w:sz w:val="24"/>
          <w:szCs w:val="24"/>
        </w:rPr>
        <w:t>ym</w:t>
      </w:r>
      <w:r w:rsidRPr="005C573E">
        <w:rPr>
          <w:rFonts w:ascii="Arial" w:hAnsi="Arial" w:cs="Arial"/>
          <w:sz w:val="24"/>
          <w:szCs w:val="24"/>
        </w:rPr>
        <w:t xml:space="preserve"> jej wypowiadanie się na </w:t>
      </w:r>
      <w:r w:rsidRPr="006F5F80">
        <w:rPr>
          <w:rFonts w:ascii="Arial" w:hAnsi="Arial" w:cs="Arial"/>
          <w:sz w:val="24"/>
          <w:szCs w:val="24"/>
        </w:rPr>
        <w:t>temat regionaln</w:t>
      </w:r>
      <w:r w:rsidR="00C164DC" w:rsidRPr="006F5F80">
        <w:rPr>
          <w:rFonts w:ascii="Arial" w:hAnsi="Arial" w:cs="Arial"/>
          <w:sz w:val="24"/>
          <w:szCs w:val="24"/>
        </w:rPr>
        <w:t>ej</w:t>
      </w:r>
      <w:r w:rsidRPr="006F5F80">
        <w:rPr>
          <w:rFonts w:ascii="Arial" w:hAnsi="Arial" w:cs="Arial"/>
          <w:sz w:val="24"/>
          <w:szCs w:val="24"/>
        </w:rPr>
        <w:t xml:space="preserve"> koniunktur</w:t>
      </w:r>
      <w:r w:rsidR="008265A8" w:rsidRPr="006F5F80">
        <w:rPr>
          <w:rFonts w:ascii="Arial" w:hAnsi="Arial" w:cs="Arial"/>
          <w:sz w:val="24"/>
          <w:szCs w:val="24"/>
        </w:rPr>
        <w:t>y</w:t>
      </w:r>
      <w:r w:rsidRPr="006F5F80">
        <w:rPr>
          <w:rFonts w:ascii="Arial" w:hAnsi="Arial" w:cs="Arial"/>
          <w:sz w:val="24"/>
          <w:szCs w:val="24"/>
        </w:rPr>
        <w:t xml:space="preserve"> gospodarcz</w:t>
      </w:r>
      <w:r w:rsidR="008265A8" w:rsidRPr="006F5F80">
        <w:rPr>
          <w:rFonts w:ascii="Arial" w:hAnsi="Arial" w:cs="Arial"/>
          <w:sz w:val="24"/>
          <w:szCs w:val="24"/>
        </w:rPr>
        <w:t>ej</w:t>
      </w:r>
      <w:r w:rsidRPr="006F5F80">
        <w:rPr>
          <w:rFonts w:ascii="Arial" w:hAnsi="Arial" w:cs="Arial"/>
          <w:sz w:val="24"/>
          <w:szCs w:val="24"/>
        </w:rPr>
        <w:t>, potrzeb kadrowych, kwalifikacyjnych w zakresie</w:t>
      </w:r>
      <w:r w:rsidRPr="005C573E">
        <w:rPr>
          <w:rFonts w:ascii="Arial" w:hAnsi="Arial" w:cs="Arial"/>
          <w:sz w:val="24"/>
          <w:szCs w:val="24"/>
        </w:rPr>
        <w:t xml:space="preserve"> zagadnień szczegółowych (w danej specjalizacji</w:t>
      </w:r>
      <w:r w:rsidRPr="005C573E">
        <w:rPr>
          <w:rFonts w:ascii="Arial" w:hAnsi="Arial" w:cs="Arial"/>
          <w:sz w:val="24"/>
          <w:szCs w:val="28"/>
        </w:rPr>
        <w:t>).</w:t>
      </w:r>
    </w:p>
    <w:p w14:paraId="3F057751" w14:textId="04CA2468" w:rsidR="00576A67" w:rsidRPr="005C573E" w:rsidRDefault="00576A67" w:rsidP="00576A67">
      <w:pPr>
        <w:spacing w:line="23" w:lineRule="atLeast"/>
        <w:jc w:val="both"/>
        <w:rPr>
          <w:rFonts w:ascii="Arial" w:hAnsi="Arial" w:cs="Arial"/>
          <w:sz w:val="24"/>
          <w:szCs w:val="28"/>
        </w:rPr>
      </w:pPr>
      <w:r w:rsidRPr="005C573E">
        <w:rPr>
          <w:rFonts w:ascii="Arial" w:hAnsi="Arial" w:cs="Arial"/>
          <w:sz w:val="24"/>
          <w:szCs w:val="28"/>
        </w:rPr>
        <w:t>Badanie delfickie z kolejną grupą ekspercką zostanie przeprowadzone w minimum dwóch rundach, po pierwszej i każdej kolejnej rundzie</w:t>
      </w:r>
      <w:r w:rsidR="00E32422">
        <w:rPr>
          <w:rFonts w:ascii="Arial" w:hAnsi="Arial" w:cs="Arial"/>
          <w:sz w:val="24"/>
          <w:szCs w:val="28"/>
        </w:rPr>
        <w:t xml:space="preserve"> (z wyjątkiem ostatniej)</w:t>
      </w:r>
      <w:r w:rsidRPr="005C573E">
        <w:rPr>
          <w:rFonts w:ascii="Arial" w:hAnsi="Arial" w:cs="Arial"/>
          <w:sz w:val="24"/>
          <w:szCs w:val="28"/>
        </w:rPr>
        <w:t xml:space="preserve"> Wykonawca przedstawi Zamawiającemu komunikat z badania i zaktualizowany wzór narzędzi badawczych. Zadaniem ekspertów będzie ocena przedstawionych im wniosków i kolejnych tez z perspektywy zapotrzebowania na kwalifikacje i kompetencje w pięciu obszarach inteligentnych specjalizacji wyodrębnionych w RSI.  Zadaniem Wykonawcy jest połączenie ich w logiczną całość, w taki sposób, aby stanowiły prognozę zapotrzebowania na kwalifikacje i kompetencje z pięciu specjalizacji. Eksperci biorąc pod uwagę osobistą wiedzę, doświadczenie i znajomość zagadnień rynku pracy oraz branży, a także dostarczoną im precyzyjną informację dotyczącą perspektyw zapotrzebowania na kwalifikacje i kompetencje z obszarów, dokonają syntezy tej wiedzy i w oparciu o nią będą uzgadniać własne konkluzje w temacie badania. Badani zaproszeni będą do formułowania nowych hipotez dotyczących przyszłości.</w:t>
      </w:r>
    </w:p>
    <w:p w14:paraId="4FBF3079" w14:textId="77777777" w:rsidR="00576A67" w:rsidRPr="005C573E" w:rsidRDefault="00576A67" w:rsidP="00576A67">
      <w:pPr>
        <w:suppressAutoHyphens w:val="0"/>
        <w:spacing w:after="0" w:line="23" w:lineRule="atLeast"/>
        <w:jc w:val="both"/>
        <w:rPr>
          <w:rFonts w:ascii="Arial" w:hAnsi="Arial" w:cs="Arial"/>
          <w:kern w:val="0"/>
          <w:sz w:val="24"/>
          <w:szCs w:val="24"/>
          <w:lang w:eastAsia="pl-PL"/>
        </w:rPr>
      </w:pPr>
    </w:p>
    <w:p w14:paraId="74B367D2" w14:textId="77777777" w:rsidR="00576A67" w:rsidRPr="005C573E" w:rsidRDefault="00576A67" w:rsidP="00576A67">
      <w:pPr>
        <w:pStyle w:val="Akapitzlist"/>
        <w:numPr>
          <w:ilvl w:val="0"/>
          <w:numId w:val="1"/>
        </w:numPr>
        <w:spacing w:line="23" w:lineRule="atLeast"/>
        <w:jc w:val="both"/>
        <w:rPr>
          <w:rFonts w:ascii="Arial" w:hAnsi="Arial" w:cs="Arial"/>
          <w:b/>
          <w:bCs/>
          <w:sz w:val="24"/>
          <w:szCs w:val="24"/>
        </w:rPr>
      </w:pPr>
      <w:r w:rsidRPr="005C573E">
        <w:rPr>
          <w:rFonts w:ascii="Arial" w:hAnsi="Arial" w:cs="Arial"/>
          <w:b/>
          <w:bCs/>
          <w:sz w:val="24"/>
          <w:szCs w:val="24"/>
        </w:rPr>
        <w:t>Etapy realizacji zamówienia przez Wykonawcę:</w:t>
      </w:r>
    </w:p>
    <w:p w14:paraId="21A2E9A3" w14:textId="77777777" w:rsidR="00576A67" w:rsidRPr="005C573E" w:rsidRDefault="00576A67" w:rsidP="00576A67">
      <w:pPr>
        <w:suppressAutoHyphens w:val="0"/>
        <w:spacing w:before="120" w:after="0" w:line="23" w:lineRule="atLeast"/>
        <w:jc w:val="both"/>
      </w:pPr>
      <w:r w:rsidRPr="005C573E">
        <w:rPr>
          <w:rFonts w:ascii="Arial" w:hAnsi="Arial" w:cs="Arial"/>
          <w:b/>
          <w:bCs/>
          <w:sz w:val="24"/>
          <w:szCs w:val="28"/>
        </w:rPr>
        <w:t xml:space="preserve">Etap 1. Sporządzenie raportu metodycznego z analizą danych zastanych, opisem planowanych etapów i rezultatów przedsięwzięcia, propozycją doboru ekspertów, organizacji prac eksperckich, listą pytań badawczych i propozycją scenariusza do IDI. </w:t>
      </w:r>
    </w:p>
    <w:p w14:paraId="01E9DFEB" w14:textId="77777777" w:rsidR="00576A67" w:rsidRPr="005C573E" w:rsidRDefault="00576A67" w:rsidP="00576A67">
      <w:pPr>
        <w:suppressAutoHyphens w:val="0"/>
        <w:spacing w:before="120" w:after="0" w:line="23" w:lineRule="atLeast"/>
        <w:jc w:val="both"/>
        <w:rPr>
          <w:rFonts w:ascii="Arial" w:hAnsi="Arial" w:cs="Arial"/>
          <w:sz w:val="24"/>
          <w:szCs w:val="28"/>
        </w:rPr>
      </w:pPr>
      <w:r w:rsidRPr="005C573E">
        <w:rPr>
          <w:rFonts w:ascii="Arial" w:hAnsi="Arial" w:cs="Arial"/>
          <w:sz w:val="24"/>
          <w:szCs w:val="28"/>
        </w:rPr>
        <w:t>Wykonawca, po podpisaniu umowy przygotuje i zaprezentuje Zamawiającemu raport metodyczny dotyczący zamówienia, zawierający koncepcję organizacji i realizacji prac badawczych. W raporcie metodycznym Wykonawca przekaże, w szczególności:</w:t>
      </w:r>
    </w:p>
    <w:p w14:paraId="043FFBB6" w14:textId="77777777" w:rsidR="00576A67" w:rsidRPr="005C573E" w:rsidRDefault="00576A67" w:rsidP="00576A67">
      <w:pPr>
        <w:pStyle w:val="Akapitzlist"/>
        <w:numPr>
          <w:ilvl w:val="0"/>
          <w:numId w:val="6"/>
        </w:numPr>
        <w:spacing w:after="0" w:line="23" w:lineRule="atLeast"/>
        <w:jc w:val="both"/>
        <w:rPr>
          <w:rFonts w:ascii="Arial" w:hAnsi="Arial" w:cs="Arial"/>
          <w:sz w:val="24"/>
          <w:szCs w:val="28"/>
        </w:rPr>
      </w:pPr>
      <w:r w:rsidRPr="005C573E">
        <w:rPr>
          <w:rFonts w:ascii="Arial" w:hAnsi="Arial" w:cs="Arial"/>
          <w:sz w:val="24"/>
          <w:szCs w:val="28"/>
        </w:rPr>
        <w:t>opis zarządzania przedsięwzięciem, w tym opracowanie sposobów zarządzania przebiegiem badań i analiz,</w:t>
      </w:r>
    </w:p>
    <w:p w14:paraId="25A83795" w14:textId="77777777" w:rsidR="00576A67" w:rsidRPr="005C573E" w:rsidRDefault="00576A67" w:rsidP="00576A67">
      <w:pPr>
        <w:pStyle w:val="Akapitzlist"/>
        <w:numPr>
          <w:ilvl w:val="0"/>
          <w:numId w:val="7"/>
        </w:numPr>
        <w:spacing w:line="23" w:lineRule="atLeast"/>
        <w:jc w:val="both"/>
        <w:rPr>
          <w:rFonts w:ascii="Arial" w:hAnsi="Arial" w:cs="Arial"/>
          <w:sz w:val="24"/>
          <w:szCs w:val="28"/>
        </w:rPr>
      </w:pPr>
      <w:r w:rsidRPr="005C573E">
        <w:rPr>
          <w:rFonts w:ascii="Arial" w:hAnsi="Arial" w:cs="Arial"/>
          <w:sz w:val="24"/>
          <w:szCs w:val="28"/>
        </w:rPr>
        <w:t>kontekst badawczy przedsięwzięcia,</w:t>
      </w:r>
    </w:p>
    <w:p w14:paraId="41691E05" w14:textId="77777777" w:rsidR="00576A67" w:rsidRPr="005C573E" w:rsidRDefault="00576A67" w:rsidP="00576A67">
      <w:pPr>
        <w:pStyle w:val="Akapitzlist"/>
        <w:numPr>
          <w:ilvl w:val="0"/>
          <w:numId w:val="7"/>
        </w:numPr>
        <w:spacing w:line="23" w:lineRule="atLeast"/>
        <w:jc w:val="both"/>
        <w:rPr>
          <w:rFonts w:ascii="Arial" w:hAnsi="Arial" w:cs="Arial"/>
          <w:sz w:val="24"/>
          <w:szCs w:val="28"/>
        </w:rPr>
      </w:pPr>
      <w:r w:rsidRPr="005C573E">
        <w:rPr>
          <w:rFonts w:ascii="Arial" w:hAnsi="Arial" w:cs="Arial"/>
          <w:sz w:val="24"/>
          <w:szCs w:val="28"/>
        </w:rPr>
        <w:t>opis planowanych rund badania i rezultatów przedsięwzięcia,</w:t>
      </w:r>
    </w:p>
    <w:p w14:paraId="78B17AAB" w14:textId="77777777" w:rsidR="00576A67" w:rsidRPr="005C573E" w:rsidRDefault="00576A67" w:rsidP="00576A67">
      <w:pPr>
        <w:pStyle w:val="Akapitzlist"/>
        <w:numPr>
          <w:ilvl w:val="0"/>
          <w:numId w:val="7"/>
        </w:numPr>
        <w:spacing w:line="23" w:lineRule="atLeast"/>
        <w:jc w:val="both"/>
        <w:rPr>
          <w:rFonts w:ascii="Arial" w:hAnsi="Arial" w:cs="Arial"/>
          <w:sz w:val="24"/>
          <w:szCs w:val="28"/>
        </w:rPr>
      </w:pPr>
      <w:r w:rsidRPr="005C573E">
        <w:rPr>
          <w:rFonts w:ascii="Arial" w:hAnsi="Arial" w:cs="Arial"/>
          <w:sz w:val="24"/>
          <w:szCs w:val="28"/>
        </w:rPr>
        <w:lastRenderedPageBreak/>
        <w:t>ewentualne rozszerzenie zakresu celów szczegółowych;</w:t>
      </w:r>
    </w:p>
    <w:p w14:paraId="4BBBFA57" w14:textId="77777777" w:rsidR="00576A67" w:rsidRPr="005C573E" w:rsidRDefault="00576A67" w:rsidP="00576A67">
      <w:pPr>
        <w:pStyle w:val="Akapitzlist"/>
        <w:numPr>
          <w:ilvl w:val="0"/>
          <w:numId w:val="7"/>
        </w:numPr>
        <w:spacing w:after="0" w:line="23" w:lineRule="atLeast"/>
        <w:contextualSpacing w:val="0"/>
        <w:jc w:val="both"/>
        <w:textAlignment w:val="baseline"/>
        <w:rPr>
          <w:rFonts w:ascii="Arial" w:hAnsi="Arial" w:cs="Arial"/>
          <w:sz w:val="24"/>
          <w:szCs w:val="28"/>
        </w:rPr>
      </w:pPr>
      <w:r w:rsidRPr="005C573E">
        <w:rPr>
          <w:rFonts w:ascii="Arial" w:hAnsi="Arial" w:cs="Arial"/>
          <w:sz w:val="24"/>
          <w:szCs w:val="28"/>
        </w:rPr>
        <w:t>szczegółowe określenie procesu badawczego wraz z listą roboczych pytań badawczych oraz propozycją scenariusza do IDI,</w:t>
      </w:r>
    </w:p>
    <w:p w14:paraId="057FBE24" w14:textId="77777777" w:rsidR="00576A67" w:rsidRPr="005C573E" w:rsidRDefault="00576A67" w:rsidP="00576A67">
      <w:pPr>
        <w:pStyle w:val="Akapitzlist"/>
        <w:numPr>
          <w:ilvl w:val="0"/>
          <w:numId w:val="7"/>
        </w:numPr>
        <w:spacing w:after="0" w:line="23" w:lineRule="atLeast"/>
        <w:contextualSpacing w:val="0"/>
        <w:jc w:val="both"/>
        <w:textAlignment w:val="baseline"/>
        <w:rPr>
          <w:rFonts w:ascii="Arial" w:hAnsi="Arial" w:cs="Arial"/>
          <w:sz w:val="24"/>
          <w:szCs w:val="28"/>
        </w:rPr>
      </w:pPr>
      <w:r w:rsidRPr="005C573E">
        <w:rPr>
          <w:rFonts w:ascii="Arial" w:hAnsi="Arial" w:cs="Arial"/>
          <w:sz w:val="24"/>
          <w:szCs w:val="28"/>
        </w:rPr>
        <w:t>propozycję doboru ekspertów i organizacji prac eksperckich,</w:t>
      </w:r>
    </w:p>
    <w:p w14:paraId="10AE1916" w14:textId="77777777" w:rsidR="00576A67" w:rsidRPr="005C573E" w:rsidRDefault="00576A67" w:rsidP="00576A67">
      <w:pPr>
        <w:pStyle w:val="Akapitzlist"/>
        <w:numPr>
          <w:ilvl w:val="0"/>
          <w:numId w:val="7"/>
        </w:numPr>
        <w:spacing w:after="0" w:line="23" w:lineRule="atLeast"/>
        <w:contextualSpacing w:val="0"/>
        <w:jc w:val="both"/>
        <w:textAlignment w:val="baseline"/>
        <w:rPr>
          <w:rFonts w:ascii="Arial" w:hAnsi="Arial" w:cs="Arial"/>
          <w:sz w:val="24"/>
          <w:szCs w:val="28"/>
        </w:rPr>
      </w:pPr>
      <w:r w:rsidRPr="005C573E">
        <w:rPr>
          <w:rFonts w:ascii="Arial" w:hAnsi="Arial" w:cs="Arial"/>
          <w:sz w:val="24"/>
          <w:szCs w:val="28"/>
        </w:rPr>
        <w:t>plan badania pilotażowego,</w:t>
      </w:r>
    </w:p>
    <w:p w14:paraId="020528B4" w14:textId="22877E6C" w:rsidR="00576A67" w:rsidRPr="005C573E" w:rsidRDefault="00576A67" w:rsidP="00576A67">
      <w:pPr>
        <w:pStyle w:val="Akapitzlist"/>
        <w:numPr>
          <w:ilvl w:val="0"/>
          <w:numId w:val="7"/>
        </w:numPr>
        <w:spacing w:after="0" w:line="23" w:lineRule="atLeast"/>
        <w:contextualSpacing w:val="0"/>
        <w:jc w:val="both"/>
        <w:textAlignment w:val="baseline"/>
        <w:rPr>
          <w:rFonts w:ascii="Arial" w:hAnsi="Arial" w:cs="Arial"/>
          <w:sz w:val="24"/>
          <w:szCs w:val="28"/>
        </w:rPr>
      </w:pPr>
      <w:r w:rsidRPr="005C573E">
        <w:rPr>
          <w:rFonts w:ascii="Arial" w:hAnsi="Arial" w:cs="Arial"/>
          <w:sz w:val="24"/>
          <w:szCs w:val="28"/>
        </w:rPr>
        <w:t>plan śródokresowego raportu oraz końcowego raportu analitycznego,</w:t>
      </w:r>
    </w:p>
    <w:p w14:paraId="1AF72E5A" w14:textId="77777777" w:rsidR="00576A67" w:rsidRPr="005C573E" w:rsidRDefault="00576A67" w:rsidP="00576A67">
      <w:pPr>
        <w:pStyle w:val="Akapitzlist"/>
        <w:numPr>
          <w:ilvl w:val="0"/>
          <w:numId w:val="7"/>
        </w:numPr>
        <w:spacing w:after="0" w:line="23" w:lineRule="atLeast"/>
        <w:contextualSpacing w:val="0"/>
        <w:jc w:val="both"/>
        <w:textAlignment w:val="baseline"/>
        <w:rPr>
          <w:rFonts w:ascii="Arial" w:hAnsi="Arial" w:cs="Arial"/>
          <w:sz w:val="24"/>
          <w:szCs w:val="28"/>
        </w:rPr>
      </w:pPr>
      <w:r w:rsidRPr="005C573E">
        <w:rPr>
          <w:rFonts w:ascii="Arial" w:hAnsi="Arial" w:cs="Arial"/>
          <w:sz w:val="24"/>
          <w:szCs w:val="28"/>
        </w:rPr>
        <w:t>harmonogram prac.</w:t>
      </w:r>
    </w:p>
    <w:p w14:paraId="17B9E594" w14:textId="77777777" w:rsidR="00576A67" w:rsidRPr="005C573E" w:rsidRDefault="00576A67" w:rsidP="00576A67">
      <w:pPr>
        <w:spacing w:after="0" w:line="23" w:lineRule="atLeast"/>
        <w:jc w:val="both"/>
        <w:rPr>
          <w:rFonts w:ascii="Arial" w:hAnsi="Arial" w:cs="Arial"/>
          <w:sz w:val="24"/>
          <w:szCs w:val="28"/>
        </w:rPr>
      </w:pPr>
      <w:r w:rsidRPr="005C573E">
        <w:rPr>
          <w:rFonts w:ascii="Arial" w:hAnsi="Arial" w:cs="Arial"/>
          <w:sz w:val="24"/>
          <w:szCs w:val="28"/>
        </w:rPr>
        <w:t xml:space="preserve">Wykonawca przedstawi Zamawiającemu raport metodyczny drogą elektroniczną (e-mail) do 6 dni roboczych od daty umowy. W terminie 4 dni roboczych od otrzymania ww. projektu raportu Zamawiający poinformuje Wykonawcę o jego akceptacji albo zaproponuje uzupełnienia lub zmiany. Wykonawca ma obowiązek uwzględnić proponowane przez Zamawiającego uzupełnienia lub zmiany w terminie 3 dni roboczych od ich otrzymania. Zamawiający ma 4 dni robocze na akceptację poprawionej wersji raportu. Raport metodyczny badania musi być zgodny z zapisami OPZ, złożoną ofertą oraz podpisaną umową. Raport niespójny lub niepełny nie zostanie przyjęty przez Zamawiającego do oceny merytorycznej. Produktem tego etapu będzie raport metodyczny akceptowany przez Zamawiającego. Akceptacja przez Zamawiającego treści raportu metodycznego (w ramach korespondencji elektronicznej) będzie warunkiem dalszej realizacji prac oraz uprawnia Wykonawcę do przeprowadzenia badania pilotażowego. </w:t>
      </w:r>
    </w:p>
    <w:p w14:paraId="51A90FB1" w14:textId="77777777" w:rsidR="00576A67" w:rsidRPr="005C573E" w:rsidRDefault="00576A67" w:rsidP="00576A67">
      <w:pPr>
        <w:spacing w:line="23" w:lineRule="atLeast"/>
        <w:jc w:val="both"/>
        <w:rPr>
          <w:rFonts w:ascii="Arial" w:hAnsi="Arial" w:cs="Arial"/>
          <w:b/>
          <w:bCs/>
          <w:sz w:val="24"/>
          <w:szCs w:val="24"/>
        </w:rPr>
      </w:pPr>
    </w:p>
    <w:p w14:paraId="5DCBEA97" w14:textId="77777777" w:rsidR="00576A67" w:rsidRPr="005C573E" w:rsidRDefault="00576A67" w:rsidP="00576A67">
      <w:pPr>
        <w:spacing w:before="100" w:line="23" w:lineRule="atLeast"/>
        <w:jc w:val="both"/>
      </w:pPr>
      <w:r w:rsidRPr="005C573E">
        <w:rPr>
          <w:rFonts w:ascii="Arial" w:hAnsi="Arial" w:cs="Arial"/>
          <w:b/>
          <w:bCs/>
          <w:sz w:val="24"/>
          <w:szCs w:val="24"/>
        </w:rPr>
        <w:t xml:space="preserve">Etap 2 </w:t>
      </w:r>
      <w:r w:rsidRPr="005C573E">
        <w:rPr>
          <w:rFonts w:ascii="Arial" w:hAnsi="Arial" w:cs="Arial"/>
          <w:b/>
          <w:bCs/>
          <w:sz w:val="24"/>
          <w:szCs w:val="28"/>
        </w:rPr>
        <w:t>Realizacja badania pilotażowego, przygotowanie podsumowania badania pilotażowego</w:t>
      </w:r>
      <w:r w:rsidRPr="005C573E">
        <w:rPr>
          <w:rFonts w:ascii="Arial" w:hAnsi="Arial" w:cs="Arial"/>
          <w:b/>
          <w:sz w:val="24"/>
          <w:szCs w:val="28"/>
        </w:rPr>
        <w:t xml:space="preserve">, </w:t>
      </w:r>
      <w:r w:rsidRPr="005C573E">
        <w:rPr>
          <w:rFonts w:ascii="Arial" w:hAnsi="Arial" w:cs="Arial"/>
          <w:b/>
          <w:bCs/>
          <w:sz w:val="24"/>
          <w:szCs w:val="28"/>
        </w:rPr>
        <w:t>korekta raportu metodycznego.</w:t>
      </w:r>
    </w:p>
    <w:p w14:paraId="72F39545" w14:textId="77777777" w:rsidR="00576A67" w:rsidRPr="005C573E" w:rsidRDefault="00576A67" w:rsidP="00576A67">
      <w:pPr>
        <w:pStyle w:val="Akapitzlist"/>
        <w:spacing w:line="23" w:lineRule="atLeast"/>
        <w:ind w:left="0"/>
        <w:jc w:val="both"/>
        <w:rPr>
          <w:rFonts w:ascii="Arial" w:hAnsi="Arial" w:cs="Arial"/>
          <w:bCs/>
          <w:sz w:val="24"/>
          <w:szCs w:val="28"/>
        </w:rPr>
      </w:pPr>
      <w:r w:rsidRPr="005C573E">
        <w:rPr>
          <w:rFonts w:ascii="Arial" w:hAnsi="Arial" w:cs="Arial"/>
          <w:bCs/>
          <w:sz w:val="24"/>
          <w:szCs w:val="28"/>
        </w:rPr>
        <w:t xml:space="preserve">Wykonawca jest zobowiązany do przeprowadzenia badania pilotażowego, w celu zweryfikowania poprawności przygotowanego narzędzia badawczego do badań IDI, pod względem jednoznaczności i zrozumiałości oraz trafności pytań zawartych w kwestionariuszu ankiety. </w:t>
      </w:r>
    </w:p>
    <w:p w14:paraId="05B25FEC" w14:textId="238E50DB" w:rsidR="00576A67" w:rsidRPr="005C573E" w:rsidRDefault="00576A67" w:rsidP="00576A67">
      <w:pPr>
        <w:pStyle w:val="Akapitzlist"/>
        <w:spacing w:line="23" w:lineRule="atLeast"/>
        <w:ind w:left="0"/>
        <w:jc w:val="both"/>
      </w:pPr>
      <w:r w:rsidRPr="005C573E">
        <w:rPr>
          <w:rFonts w:ascii="Arial" w:hAnsi="Arial" w:cs="Arial"/>
          <w:bCs/>
          <w:sz w:val="24"/>
          <w:szCs w:val="28"/>
        </w:rPr>
        <w:t xml:space="preserve">W ramach tego etapu Wykonawca przeprowadzi badanie pilotażowe na próbie nie mniejszej niż 2 respondentów. Wykonawca z przeprowadzonego pilotażu badania przygotuje podsumowanie badania pilotażowego, z możliwością włączenia uzyskanego materiału do materiału badawczego. Wykonawca dokona analizy informacji zgromadzonych w ramach pilotażu badania i przekaże je Zamawiającemu w formie podsumowania, zawierającego opis przeprowadzonego pilotażu, wnioski dotyczące poprawności narzędzia badawczego. Na podstawie wyników badania pilotażowego, jeśli wskażą one na taką konieczność Wykonawca jest zobowiązany do </w:t>
      </w:r>
      <w:proofErr w:type="gramStart"/>
      <w:r w:rsidRPr="005C573E">
        <w:rPr>
          <w:rFonts w:ascii="Arial" w:hAnsi="Arial" w:cs="Arial"/>
          <w:bCs/>
          <w:sz w:val="24"/>
          <w:szCs w:val="28"/>
        </w:rPr>
        <w:t>dokonania  niezbędnych</w:t>
      </w:r>
      <w:proofErr w:type="gramEnd"/>
      <w:r w:rsidRPr="005C573E">
        <w:rPr>
          <w:rFonts w:ascii="Arial" w:hAnsi="Arial" w:cs="Arial"/>
          <w:bCs/>
          <w:sz w:val="24"/>
          <w:szCs w:val="28"/>
        </w:rPr>
        <w:t xml:space="preserve"> zmian narzędzia badawczego. Wykonawca opracuje raport metodyczny po pilotażu ze sformułowanymi i uwzględnionymi wnioskami z pilotażu, pytaniami badawczymi, propozycją pełnego scenariusza wywiadów IDI. Akceptacja ostatecznego kształtu narzędzia badawczego przez Zamawiającego jest warunkiem wykorzystania narzędzia w badaniu. Wykonawca przedstawi Zamawiającemu raport metodyczny po pilotażu (w ramach korespondencji elektronicznej) do 5 dni roboczych od akceptacji raportu metodycznego z Etapu 1. W terminie 4 dni roboczych od otrzymania ww. raportu, Zamawiający poinformuje Wykonawcę o jego akceptacji albo zaproponuje uzupełnienia lub zmiany. Wykonawca ma obowiązek uwzględnić proponowane przez Zamawiającego uzupełnienia lub zmiany w terminie 3 dni roboczych od ich otrzymania. Zamawiający ma 4 dni robocze na akceptację poprawionej wersji raportu. Akceptacja treści raportu metodycznego po pilotażu przez Zamawiającego (w ramach korespondencji elektronicznej) będzie warunkiem dalszej realizacji prac badawczo-analitycznych. </w:t>
      </w:r>
      <w:r w:rsidRPr="005C573E">
        <w:rPr>
          <w:rFonts w:ascii="Arial" w:hAnsi="Arial" w:cs="Arial"/>
          <w:bCs/>
          <w:sz w:val="24"/>
          <w:szCs w:val="24"/>
        </w:rPr>
        <w:t xml:space="preserve">Wykonawca dostarczy Zamawiającemu zaakceptowany raport metodyczny po pilotażu w wersji elektronicznej oraz papierowej podpisanej przez Wykonawcę oraz autora/autorów raportu i opatrzonej pieczęcią Wykonawcy. </w:t>
      </w:r>
    </w:p>
    <w:p w14:paraId="27168AEC" w14:textId="2E18C4B8" w:rsidR="00576A67" w:rsidRPr="005C573E" w:rsidRDefault="00576A67" w:rsidP="00576A67">
      <w:pPr>
        <w:spacing w:before="100" w:line="23" w:lineRule="atLeast"/>
        <w:jc w:val="both"/>
        <w:rPr>
          <w:rFonts w:ascii="Arial" w:hAnsi="Arial" w:cs="Arial"/>
          <w:b/>
          <w:bCs/>
          <w:sz w:val="24"/>
          <w:szCs w:val="24"/>
        </w:rPr>
      </w:pPr>
      <w:r w:rsidRPr="005C573E">
        <w:rPr>
          <w:rFonts w:ascii="Arial" w:hAnsi="Arial" w:cs="Arial"/>
          <w:b/>
          <w:bCs/>
          <w:sz w:val="24"/>
          <w:szCs w:val="24"/>
        </w:rPr>
        <w:t>Etap 3. Realizacja wywiadów indywidualnych wśród minimum 60 ekspertów. Czynności analityczne, przygotowanie raport</w:t>
      </w:r>
      <w:r w:rsidR="00F80822">
        <w:rPr>
          <w:rFonts w:ascii="Arial" w:hAnsi="Arial" w:cs="Arial"/>
          <w:b/>
          <w:bCs/>
          <w:sz w:val="24"/>
          <w:szCs w:val="24"/>
        </w:rPr>
        <w:t>u</w:t>
      </w:r>
      <w:r w:rsidRPr="005C573E">
        <w:rPr>
          <w:rFonts w:ascii="Arial" w:hAnsi="Arial" w:cs="Arial"/>
          <w:b/>
          <w:bCs/>
          <w:sz w:val="24"/>
          <w:szCs w:val="24"/>
        </w:rPr>
        <w:t xml:space="preserve"> śródokresow</w:t>
      </w:r>
      <w:r w:rsidR="00F80822">
        <w:rPr>
          <w:rFonts w:ascii="Arial" w:hAnsi="Arial" w:cs="Arial"/>
          <w:b/>
          <w:bCs/>
          <w:sz w:val="24"/>
          <w:szCs w:val="24"/>
        </w:rPr>
        <w:t>ego</w:t>
      </w:r>
    </w:p>
    <w:p w14:paraId="26DC3D54" w14:textId="77777777" w:rsidR="00576A67" w:rsidRPr="005C573E" w:rsidRDefault="00576A67" w:rsidP="00576A67">
      <w:pPr>
        <w:spacing w:line="23" w:lineRule="atLeast"/>
        <w:jc w:val="both"/>
      </w:pPr>
      <w:r w:rsidRPr="005C573E">
        <w:rPr>
          <w:rFonts w:ascii="Arial" w:hAnsi="Arial" w:cs="Arial"/>
          <w:sz w:val="24"/>
          <w:szCs w:val="24"/>
        </w:rPr>
        <w:t xml:space="preserve">Etap będzie polegał na wykonaniu indywidualnych wywiadów pogłębionych z ekspertami z zakresów wszystkich pięciu obszarów określonych dla inteligentnych specjalizacji w województwie lubelskim w Regionalnej Strategii Innowacji. W każdym z obszarów specjalizacji zostanie </w:t>
      </w:r>
      <w:r w:rsidRPr="005C573E">
        <w:rPr>
          <w:rFonts w:ascii="Arial" w:hAnsi="Arial" w:cs="Arial"/>
          <w:sz w:val="24"/>
          <w:szCs w:val="24"/>
        </w:rPr>
        <w:lastRenderedPageBreak/>
        <w:t xml:space="preserve">przeprowadzonych minimum 12 IDI. Perspektywą czasową prognoz będzie rok 2035. Eksperci będą wypowiadać się na temat rozwoju danego obszaru w województwie lubelskim, w szczególności pod kątem zapotrzebowania na kompetencje pracowników </w:t>
      </w:r>
      <w:r w:rsidRPr="00812AEE">
        <w:rPr>
          <w:rFonts w:ascii="Arial" w:hAnsi="Arial" w:cs="Arial"/>
          <w:sz w:val="24"/>
          <w:szCs w:val="24"/>
        </w:rPr>
        <w:t>(MAPOWANIE KOMPETENCJI),</w:t>
      </w:r>
      <w:r w:rsidRPr="005C573E">
        <w:rPr>
          <w:rFonts w:ascii="Arial" w:hAnsi="Arial" w:cs="Arial"/>
          <w:sz w:val="24"/>
          <w:szCs w:val="24"/>
        </w:rPr>
        <w:t xml:space="preserve"> w związku z kwalifikacjami, z uwzględnieniem szczegółowych zagadnień, które znajdują się w załączniku nr 1. Efektem tego etapu badań będzie opracowanie zbiorcze, zawierające analityczne podsumowanie każdego z obszarów. W raporcie podsumowującym ten etap kluczowa będzie lista precyzyjnie sformułowanych wniosków zarówno dotyczących poszczególnych obszarów, jak i wniosków o charakterze uniwersalnym, odnoszących się do wszystkich obszarów, z uwzględnieniem szczegółowych zagadnień według Załącznika nr 1. Lista musi zawierać minimum 5 rekomendacji dla każdej specjalizacji oraz minimum 5 wniosków dotyczących wszystkich inteligentnych specjalizacji. Sformułowanie tych wniosków będzie stanowiło zadanie Wykonawcy, który opracuje je na podstawie zebranego materiału.</w:t>
      </w:r>
    </w:p>
    <w:p w14:paraId="6A297ED4" w14:textId="77777777" w:rsidR="00576A67" w:rsidRPr="005C573E" w:rsidRDefault="00576A67" w:rsidP="00576A67">
      <w:pPr>
        <w:spacing w:line="23" w:lineRule="atLeast"/>
        <w:jc w:val="both"/>
        <w:rPr>
          <w:rFonts w:ascii="Arial" w:hAnsi="Arial" w:cs="Arial"/>
          <w:sz w:val="24"/>
          <w:szCs w:val="24"/>
        </w:rPr>
      </w:pPr>
      <w:r w:rsidRPr="005C573E">
        <w:rPr>
          <w:rFonts w:ascii="Arial" w:hAnsi="Arial" w:cs="Arial"/>
          <w:sz w:val="24"/>
          <w:szCs w:val="24"/>
        </w:rPr>
        <w:t xml:space="preserve">Raport z tego etapu badań (raport śródokresowy) zawierający ww. wnioski będzie stanowił punkt wyjścia do etapu badania, który będzie prowadzony zasadniczo w oparciu o metodę delficką. Raport zawierał będzie kwestionariusz ankiety do kolejnego etapu. </w:t>
      </w:r>
    </w:p>
    <w:p w14:paraId="54F37783" w14:textId="5B407D29" w:rsidR="00576A67" w:rsidRPr="005C573E" w:rsidRDefault="00576A67" w:rsidP="00576A67">
      <w:pPr>
        <w:spacing w:line="23" w:lineRule="atLeast"/>
        <w:jc w:val="both"/>
        <w:rPr>
          <w:rFonts w:ascii="Arial" w:hAnsi="Arial" w:cs="Arial"/>
          <w:bCs/>
          <w:sz w:val="24"/>
          <w:szCs w:val="28"/>
        </w:rPr>
      </w:pPr>
      <w:r w:rsidRPr="005C573E">
        <w:rPr>
          <w:rFonts w:ascii="Arial" w:hAnsi="Arial" w:cs="Arial"/>
          <w:bCs/>
          <w:sz w:val="24"/>
          <w:szCs w:val="28"/>
        </w:rPr>
        <w:t xml:space="preserve">W celu sprawnej i terminowej realizacji badania Wykonawca powinien uwzględnić wszystkie koszty rekrutacji i realizacji wywiadów, w tym </w:t>
      </w:r>
      <w:r w:rsidR="000802A0">
        <w:rPr>
          <w:rFonts w:ascii="Arial" w:hAnsi="Arial" w:cs="Arial"/>
          <w:bCs/>
          <w:sz w:val="24"/>
          <w:szCs w:val="28"/>
        </w:rPr>
        <w:t xml:space="preserve">ewentualne </w:t>
      </w:r>
      <w:r w:rsidRPr="005C573E">
        <w:rPr>
          <w:rFonts w:ascii="Arial" w:hAnsi="Arial" w:cs="Arial"/>
          <w:bCs/>
          <w:sz w:val="24"/>
          <w:szCs w:val="28"/>
        </w:rPr>
        <w:t>rekompensaty/honoraria/zestawy podarunkowe dla ekspertów.</w:t>
      </w:r>
    </w:p>
    <w:p w14:paraId="1B3CB708" w14:textId="77777777" w:rsidR="00576A67" w:rsidRPr="005C573E" w:rsidRDefault="00576A67" w:rsidP="00576A67">
      <w:pPr>
        <w:spacing w:line="23" w:lineRule="atLeast"/>
        <w:jc w:val="both"/>
      </w:pPr>
      <w:r w:rsidRPr="005C573E">
        <w:rPr>
          <w:rFonts w:ascii="Arial" w:hAnsi="Arial" w:cs="Arial"/>
          <w:bCs/>
          <w:sz w:val="24"/>
          <w:szCs w:val="28"/>
        </w:rPr>
        <w:t xml:space="preserve">Materiał badawczy zebrany w ramach IDI, zostanie przez Wykonawcę opracowany w formie raportu śródokresowego. Zamawiający zaakceptuje raport lub sformułuje do niego uwagi w ciągu 4 dni roboczych od otrzymania materiału. Wykonawca w ciągu 3 dni roboczych odeśle skorygowany materiał. Dalsze przekazywanie uwag przez Zamawiającego odbywać się będzie w ciągu 4 dni roboczych od otrzymania materiału, a i ich uwzględnianie przez Wykonawcę musi odbywać się w ciągu co najwyżej 3 dni roboczych. Wykonawca uwzględni wszystkie uwagi i przekaże Zamawiającemu ww. materiały niewymagające dalszych poprawek, jednak nie później niż w ciągu 100 dni kalendarzowych liczonych od daty umowy. Wykonawca dostarczy Zamawiającemu zaakceptowany raport śródokresowy w wersji elektronicznej oraz papierowej podpisanej przez Wykonawcę oraz autorów raportu i opatrzonej pieczęcią Wykonawcy. </w:t>
      </w:r>
    </w:p>
    <w:p w14:paraId="03466A9A" w14:textId="77777777" w:rsidR="00576A67" w:rsidRPr="005C573E" w:rsidRDefault="00576A67" w:rsidP="00576A67">
      <w:pPr>
        <w:pageBreakBefore/>
        <w:suppressAutoHyphens w:val="0"/>
        <w:spacing w:line="23" w:lineRule="atLeast"/>
        <w:rPr>
          <w:rFonts w:ascii="Arial" w:hAnsi="Arial" w:cs="Arial"/>
          <w:sz w:val="24"/>
          <w:szCs w:val="24"/>
        </w:rPr>
      </w:pPr>
    </w:p>
    <w:p w14:paraId="6BEF3D5F" w14:textId="77777777" w:rsidR="00576A67" w:rsidRPr="005C573E" w:rsidRDefault="00576A67" w:rsidP="00576A67">
      <w:pPr>
        <w:spacing w:line="23" w:lineRule="atLeast"/>
        <w:jc w:val="both"/>
        <w:rPr>
          <w:rFonts w:ascii="Arial" w:hAnsi="Arial" w:cs="Arial"/>
          <w:b/>
          <w:bCs/>
          <w:sz w:val="24"/>
          <w:szCs w:val="24"/>
        </w:rPr>
      </w:pPr>
      <w:r w:rsidRPr="005C573E">
        <w:rPr>
          <w:rFonts w:ascii="Arial" w:hAnsi="Arial" w:cs="Arial"/>
          <w:b/>
          <w:bCs/>
          <w:sz w:val="24"/>
          <w:szCs w:val="24"/>
        </w:rPr>
        <w:t>Etap 4. Badanie delfickie. Czynności analityczne i sporządzenie końcowego raportu analitycznego.</w:t>
      </w:r>
    </w:p>
    <w:p w14:paraId="54125275" w14:textId="0A7BC51A" w:rsidR="00576A67" w:rsidRPr="006F5F80" w:rsidRDefault="00576A67" w:rsidP="00576A67">
      <w:pPr>
        <w:spacing w:line="23" w:lineRule="atLeast"/>
        <w:jc w:val="both"/>
        <w:rPr>
          <w:rFonts w:ascii="Arial" w:hAnsi="Arial" w:cs="Arial"/>
          <w:sz w:val="24"/>
          <w:szCs w:val="24"/>
        </w:rPr>
      </w:pPr>
      <w:r w:rsidRPr="005C573E">
        <w:rPr>
          <w:rFonts w:ascii="Arial" w:hAnsi="Arial" w:cs="Arial"/>
          <w:sz w:val="24"/>
          <w:szCs w:val="24"/>
        </w:rPr>
        <w:t xml:space="preserve">W badaniu wezmą udział eksperci z dziedziny rynku pracy i edukacji. Nie mogą być to respondenci z poprzedniego etapu badania. Zamawiający nie udostępnia bazy ekspertów. Wykonawca przedstawi proponowaną listę ekspertów </w:t>
      </w:r>
      <w:r w:rsidR="00B16418" w:rsidRPr="005C573E">
        <w:rPr>
          <w:rFonts w:ascii="Arial" w:hAnsi="Arial" w:cs="Arial"/>
          <w:sz w:val="24"/>
          <w:szCs w:val="24"/>
        </w:rPr>
        <w:t xml:space="preserve">– respondentów do tego etapu </w:t>
      </w:r>
      <w:r w:rsidR="00DE1B94">
        <w:rPr>
          <w:rFonts w:ascii="Arial" w:hAnsi="Arial" w:cs="Arial"/>
          <w:sz w:val="24"/>
          <w:szCs w:val="24"/>
        </w:rPr>
        <w:t>wraz z uzasadnieniem</w:t>
      </w:r>
      <w:r w:rsidRPr="005C573E">
        <w:rPr>
          <w:rFonts w:ascii="Arial" w:hAnsi="Arial" w:cs="Arial"/>
          <w:sz w:val="24"/>
          <w:szCs w:val="24"/>
        </w:rPr>
        <w:t xml:space="preserve"> w ciągu 8 dni roboczych od akceptacji raportu z poprzedniego etapu</w:t>
      </w:r>
      <w:r w:rsidR="0084362E" w:rsidRPr="006F5F80">
        <w:rPr>
          <w:rFonts w:ascii="Arial" w:hAnsi="Arial" w:cs="Arial"/>
          <w:sz w:val="24"/>
          <w:szCs w:val="24"/>
        </w:rPr>
        <w:t xml:space="preserve">. Warunkiem udziału </w:t>
      </w:r>
      <w:r w:rsidR="00996FA1" w:rsidRPr="006F5F80">
        <w:rPr>
          <w:rFonts w:ascii="Arial" w:hAnsi="Arial" w:cs="Arial"/>
          <w:sz w:val="24"/>
          <w:szCs w:val="24"/>
        </w:rPr>
        <w:t>danego eksperta w badaniu jest akceptacja jego osoby przez Zamawiającego.</w:t>
      </w:r>
    </w:p>
    <w:p w14:paraId="5DF2308A" w14:textId="0A2728F0" w:rsidR="00576A67" w:rsidRPr="005C573E" w:rsidRDefault="00576A67" w:rsidP="00576A67">
      <w:pPr>
        <w:spacing w:line="23" w:lineRule="atLeast"/>
        <w:jc w:val="both"/>
        <w:rPr>
          <w:rFonts w:ascii="Arial" w:hAnsi="Arial" w:cs="Arial"/>
          <w:sz w:val="24"/>
          <w:szCs w:val="24"/>
        </w:rPr>
      </w:pPr>
      <w:r w:rsidRPr="005C573E">
        <w:rPr>
          <w:rFonts w:ascii="Arial" w:hAnsi="Arial" w:cs="Arial"/>
          <w:sz w:val="24"/>
          <w:szCs w:val="24"/>
        </w:rPr>
        <w:t xml:space="preserve">Minimum </w:t>
      </w:r>
      <w:r w:rsidR="004146C1">
        <w:rPr>
          <w:rFonts w:ascii="Arial" w:hAnsi="Arial" w:cs="Arial"/>
          <w:sz w:val="24"/>
          <w:szCs w:val="24"/>
        </w:rPr>
        <w:t>6</w:t>
      </w:r>
      <w:r w:rsidRPr="005C573E">
        <w:rPr>
          <w:rFonts w:ascii="Arial" w:hAnsi="Arial" w:cs="Arial"/>
          <w:sz w:val="24"/>
          <w:szCs w:val="24"/>
        </w:rPr>
        <w:t>0% ekspertów w tym etapie badania musi posiadać wiedzę i doświadczenie zawodowe lub eksperckie w kontekście województwa lubelskiego. Muszą reprezentować różne środowiska i grupy, posiadać rozeznanie w sprawach ogólnych dotyczących rynku pracy (bezrobocia, struktury zatrudnienia, problemów uczestników rynku pracy, mechanizmów finansowania wsparcia osób poszukujących pracy, działań instytucji rynku pracy) oraz znajomość zagadnień szczegółowych z przynajmniej jednej z grup czynników (wpływających na kształt rynku pracy w województwie lubelskim): czynniki polityczno-prawne, makroekonomiczne, technologiczne, społeczne oraz związane ze środowiskiem</w:t>
      </w:r>
      <w:r w:rsidRPr="006F5F80">
        <w:rPr>
          <w:rFonts w:ascii="Arial" w:hAnsi="Arial" w:cs="Arial"/>
          <w:sz w:val="24"/>
          <w:szCs w:val="24"/>
        </w:rPr>
        <w:t xml:space="preserve">. </w:t>
      </w:r>
      <w:r w:rsidR="00C165C7" w:rsidRPr="006F5F80">
        <w:rPr>
          <w:rFonts w:ascii="Arial" w:hAnsi="Arial" w:cs="Arial"/>
          <w:sz w:val="24"/>
          <w:szCs w:val="24"/>
        </w:rPr>
        <w:t xml:space="preserve">Minimum 60% </w:t>
      </w:r>
      <w:r w:rsidR="00F3281E" w:rsidRPr="006F5F80">
        <w:rPr>
          <w:rFonts w:ascii="Arial" w:hAnsi="Arial" w:cs="Arial"/>
          <w:sz w:val="24"/>
          <w:szCs w:val="24"/>
        </w:rPr>
        <w:t xml:space="preserve">ekspertów powinno dodatkowo posiadać </w:t>
      </w:r>
      <w:r w:rsidR="00276538" w:rsidRPr="006F5F80">
        <w:rPr>
          <w:rFonts w:ascii="Arial" w:hAnsi="Arial" w:cs="Arial"/>
          <w:sz w:val="24"/>
          <w:szCs w:val="24"/>
        </w:rPr>
        <w:t xml:space="preserve">udokumentowaną </w:t>
      </w:r>
      <w:r w:rsidR="00F3281E" w:rsidRPr="006F5F80">
        <w:rPr>
          <w:rFonts w:ascii="Arial" w:hAnsi="Arial" w:cs="Arial"/>
          <w:sz w:val="24"/>
          <w:szCs w:val="24"/>
        </w:rPr>
        <w:t>wiedzę</w:t>
      </w:r>
      <w:r w:rsidR="003929AF">
        <w:rPr>
          <w:rFonts w:ascii="Arial" w:hAnsi="Arial" w:cs="Arial"/>
          <w:sz w:val="24"/>
          <w:szCs w:val="24"/>
        </w:rPr>
        <w:t xml:space="preserve"> lub doświadczenie</w:t>
      </w:r>
      <w:r w:rsidR="00FA37F3" w:rsidRPr="006F5F80">
        <w:rPr>
          <w:rFonts w:ascii="Arial" w:hAnsi="Arial" w:cs="Arial"/>
          <w:sz w:val="24"/>
          <w:szCs w:val="24"/>
        </w:rPr>
        <w:t xml:space="preserve"> </w:t>
      </w:r>
      <w:r w:rsidR="00D061D4" w:rsidRPr="006F5F80">
        <w:rPr>
          <w:rFonts w:ascii="Arial" w:hAnsi="Arial" w:cs="Arial"/>
          <w:sz w:val="24"/>
          <w:szCs w:val="24"/>
        </w:rPr>
        <w:t>w obszarze</w:t>
      </w:r>
      <w:r w:rsidR="00FA37F3" w:rsidRPr="006F5F80">
        <w:rPr>
          <w:rFonts w:ascii="Arial" w:hAnsi="Arial" w:cs="Arial"/>
          <w:sz w:val="24"/>
          <w:szCs w:val="24"/>
        </w:rPr>
        <w:t xml:space="preserve"> przynajmniej 1 z </w:t>
      </w:r>
      <w:r w:rsidR="00D061D4" w:rsidRPr="006F5F80">
        <w:rPr>
          <w:rFonts w:ascii="Arial" w:hAnsi="Arial" w:cs="Arial"/>
          <w:sz w:val="24"/>
          <w:szCs w:val="24"/>
        </w:rPr>
        <w:t xml:space="preserve">inteligentnych specjalizacji, stanowiących załącznik do niniejszego OPZ. </w:t>
      </w:r>
      <w:r w:rsidRPr="006F5F80">
        <w:rPr>
          <w:rFonts w:ascii="Arial" w:hAnsi="Arial" w:cs="Arial"/>
          <w:sz w:val="24"/>
          <w:szCs w:val="24"/>
        </w:rPr>
        <w:t xml:space="preserve">Powinni </w:t>
      </w:r>
      <w:r w:rsidRPr="005C573E">
        <w:rPr>
          <w:rFonts w:ascii="Arial" w:hAnsi="Arial" w:cs="Arial"/>
          <w:sz w:val="24"/>
          <w:szCs w:val="24"/>
        </w:rPr>
        <w:t>posiadać możliwość wykorzystania dorobku zawodowego lub dorobku instytucji w wyrażaniu eksperckich opinii powiązanych z celami przedsięwzięcia badawczego. Wszystkie powyższe kompetencje muszą być zweryfikowane w pytaniach wstępnych dla respondentów – samoocenie kompetencji.</w:t>
      </w:r>
    </w:p>
    <w:p w14:paraId="2F3CF666" w14:textId="6EA2FBA3" w:rsidR="00576A67" w:rsidRPr="005C573E" w:rsidRDefault="00576A67" w:rsidP="00576A67">
      <w:pPr>
        <w:spacing w:line="23" w:lineRule="atLeast"/>
        <w:jc w:val="both"/>
        <w:rPr>
          <w:rFonts w:ascii="Arial" w:hAnsi="Arial" w:cs="Arial"/>
          <w:sz w:val="24"/>
          <w:szCs w:val="24"/>
        </w:rPr>
      </w:pPr>
      <w:r w:rsidRPr="005C573E">
        <w:rPr>
          <w:rFonts w:ascii="Arial" w:hAnsi="Arial" w:cs="Arial"/>
          <w:sz w:val="24"/>
          <w:szCs w:val="24"/>
        </w:rPr>
        <w:t xml:space="preserve">Wnioski z etapu wywiadów indywidualnych (etap 3) badania będą stanowiły dla uczestników badania delfickiego tezy, które powinny być pogłębiane/korygowane/kontekstowo rozwijane. Narzędzie badawcze w pierwszej rundzie musi zawierać pytania zamknięte i otwarte. Badanie delfickie zostanie przeprowadzone w minimum dwóch rundach, po pierwszej </w:t>
      </w:r>
      <w:r w:rsidRPr="006F5F80">
        <w:rPr>
          <w:rFonts w:ascii="Arial" w:hAnsi="Arial" w:cs="Arial"/>
          <w:sz w:val="24"/>
          <w:szCs w:val="24"/>
        </w:rPr>
        <w:t xml:space="preserve">i </w:t>
      </w:r>
      <w:r w:rsidR="00691A70" w:rsidRPr="006F5F80">
        <w:rPr>
          <w:rFonts w:ascii="Arial" w:hAnsi="Arial" w:cs="Arial"/>
          <w:sz w:val="24"/>
          <w:szCs w:val="24"/>
        </w:rPr>
        <w:t xml:space="preserve">każdej </w:t>
      </w:r>
      <w:r w:rsidRPr="006F5F80">
        <w:rPr>
          <w:rFonts w:ascii="Arial" w:hAnsi="Arial" w:cs="Arial"/>
          <w:sz w:val="24"/>
          <w:szCs w:val="24"/>
        </w:rPr>
        <w:t>kolejnej rundzie</w:t>
      </w:r>
      <w:r w:rsidR="00691A70" w:rsidRPr="006F5F80">
        <w:rPr>
          <w:rFonts w:ascii="Arial" w:hAnsi="Arial" w:cs="Arial"/>
          <w:sz w:val="24"/>
          <w:szCs w:val="24"/>
        </w:rPr>
        <w:t xml:space="preserve"> (z wyjątkiem </w:t>
      </w:r>
      <w:proofErr w:type="gramStart"/>
      <w:r w:rsidR="00691A70" w:rsidRPr="006F5F80">
        <w:rPr>
          <w:rFonts w:ascii="Arial" w:hAnsi="Arial" w:cs="Arial"/>
          <w:sz w:val="24"/>
          <w:szCs w:val="24"/>
        </w:rPr>
        <w:t xml:space="preserve">ostatniej) </w:t>
      </w:r>
      <w:r w:rsidRPr="006F5F80">
        <w:rPr>
          <w:rFonts w:ascii="Arial" w:hAnsi="Arial" w:cs="Arial"/>
          <w:sz w:val="24"/>
          <w:szCs w:val="24"/>
        </w:rPr>
        <w:t xml:space="preserve"> Wykonawca</w:t>
      </w:r>
      <w:proofErr w:type="gramEnd"/>
      <w:r w:rsidRPr="006F5F80">
        <w:rPr>
          <w:rFonts w:ascii="Arial" w:hAnsi="Arial" w:cs="Arial"/>
          <w:sz w:val="24"/>
          <w:szCs w:val="24"/>
        </w:rPr>
        <w:t xml:space="preserve"> przedstawi Zamawiającemu komunikat </w:t>
      </w:r>
      <w:r w:rsidRPr="005C573E">
        <w:rPr>
          <w:rFonts w:ascii="Arial" w:hAnsi="Arial" w:cs="Arial"/>
          <w:sz w:val="24"/>
          <w:szCs w:val="24"/>
        </w:rPr>
        <w:t>z badania i zaktualizowany wzór narzędzia badawczego. Badanie delfickie zostanie zrealizowane przez Wykonawcę wśród co najmniej 35 ekspertów, którzy posiadają niezbędny status, wiedzę i doświadczenie. Zadaniem ekspertów będzie ocena przedstawionych im wniosków i kolejnych tez z perspektywy rynku pracy oraz edukacji. Zadaniem Wykonawcy jest połączenie ich w logiczną całość, w taki sposób, aby stanowiły prognozę zapotrzebowania na kwalifikacje i umiejętności do roku 2035. Eksperci biorąc pod uwagę osobistą wiedzę, doświadczenie i znajomość zagadnień rynku pracy oraz edukacji, a także dostarczoną im precyzyjną informację dotyczącą perspektyw dla poszczególnych obszarów inteligentnych specjalizacji, dokonają syntezy tej wiedzy i w oparciu o nią będą uzgadniać własne konkluzje w temacie badania. Badani zaproszeni będą do formułowania nowych hipotez dotyczących przyszłości, z uwzględnieniem czynników wpływu na rynek pracy i edukacji. Materiał badawczy zebrany w 3 i 4 etapie badania zostanie przez Wykonawcę opracowany i syntetycznie połączony z wnioskami i rekomendacjami z raportu śródokresowego, stanowiąc końcowy raport analityczny.</w:t>
      </w:r>
    </w:p>
    <w:p w14:paraId="50C57FD8" w14:textId="77777777" w:rsidR="00576A67" w:rsidRPr="005C573E" w:rsidRDefault="00576A67" w:rsidP="00576A67">
      <w:pPr>
        <w:suppressAutoHyphens w:val="0"/>
        <w:spacing w:after="0" w:line="23" w:lineRule="atLeast"/>
        <w:jc w:val="both"/>
        <w:rPr>
          <w:rFonts w:ascii="Arial" w:hAnsi="Arial" w:cs="Arial"/>
          <w:kern w:val="0"/>
          <w:sz w:val="24"/>
          <w:szCs w:val="24"/>
        </w:rPr>
      </w:pPr>
      <w:r w:rsidRPr="005C573E">
        <w:rPr>
          <w:rFonts w:ascii="Arial" w:hAnsi="Arial" w:cs="Arial"/>
          <w:kern w:val="0"/>
          <w:sz w:val="24"/>
          <w:szCs w:val="24"/>
        </w:rPr>
        <w:t>W celu sprawnej i terminowej realizacji badania Wykonawca powinien uwzględnić wszystkie koszty rekrutacji i realizacji ankiet, w tym rekompensaty/honoraria/zestawy podarunkowe dla respondentów.</w:t>
      </w:r>
    </w:p>
    <w:p w14:paraId="43C664AD" w14:textId="77777777" w:rsidR="00576A67" w:rsidRPr="005C573E" w:rsidRDefault="00576A67" w:rsidP="00576A67">
      <w:pPr>
        <w:suppressAutoHyphens w:val="0"/>
        <w:spacing w:after="0" w:line="23" w:lineRule="atLeast"/>
        <w:jc w:val="both"/>
        <w:rPr>
          <w:rFonts w:ascii="Arial" w:hAnsi="Arial" w:cs="Arial"/>
          <w:kern w:val="0"/>
          <w:sz w:val="24"/>
          <w:szCs w:val="24"/>
        </w:rPr>
      </w:pPr>
    </w:p>
    <w:p w14:paraId="2D110735" w14:textId="72CBD73B" w:rsidR="00576A67" w:rsidRPr="005C573E" w:rsidRDefault="00724D80" w:rsidP="00576A67">
      <w:pPr>
        <w:spacing w:line="23" w:lineRule="atLeast"/>
        <w:jc w:val="both"/>
      </w:pPr>
      <w:r>
        <w:rPr>
          <w:rFonts w:ascii="Arial" w:hAnsi="Arial" w:cs="Arial"/>
          <w:sz w:val="24"/>
          <w:szCs w:val="28"/>
        </w:rPr>
        <w:t>Końcowy r</w:t>
      </w:r>
      <w:r w:rsidR="00576A67" w:rsidRPr="005C573E">
        <w:rPr>
          <w:rFonts w:ascii="Arial" w:hAnsi="Arial" w:cs="Arial"/>
          <w:sz w:val="24"/>
          <w:szCs w:val="28"/>
        </w:rPr>
        <w:t xml:space="preserve">aport </w:t>
      </w:r>
      <w:r>
        <w:rPr>
          <w:rFonts w:ascii="Arial" w:hAnsi="Arial" w:cs="Arial"/>
          <w:sz w:val="24"/>
          <w:szCs w:val="28"/>
        </w:rPr>
        <w:t xml:space="preserve">analityczny </w:t>
      </w:r>
      <w:r w:rsidR="00576A67" w:rsidRPr="005C573E">
        <w:rPr>
          <w:rFonts w:ascii="Arial" w:hAnsi="Arial" w:cs="Arial"/>
          <w:sz w:val="24"/>
          <w:szCs w:val="28"/>
        </w:rPr>
        <w:t>będzie także zawierał</w:t>
      </w:r>
      <w:r w:rsidR="00576A67" w:rsidRPr="005C573E">
        <w:rPr>
          <w:rFonts w:ascii="Arial" w:hAnsi="Arial" w:cs="Arial"/>
          <w:b/>
          <w:bCs/>
          <w:sz w:val="24"/>
          <w:szCs w:val="28"/>
        </w:rPr>
        <w:t xml:space="preserve"> </w:t>
      </w:r>
      <w:r w:rsidR="00576A67" w:rsidRPr="005C573E">
        <w:rPr>
          <w:rFonts w:ascii="Arial" w:hAnsi="Arial" w:cs="Arial"/>
          <w:bCs/>
          <w:sz w:val="24"/>
          <w:szCs w:val="28"/>
        </w:rPr>
        <w:t>opis metodyki badania przyjętej w raporcie metodycznym.</w:t>
      </w:r>
    </w:p>
    <w:p w14:paraId="014E453D" w14:textId="79B7D192" w:rsidR="00576A67" w:rsidRPr="005C573E" w:rsidRDefault="00CD530B" w:rsidP="00576A67">
      <w:pPr>
        <w:suppressAutoHyphens w:val="0"/>
        <w:spacing w:after="0" w:line="23" w:lineRule="atLeast"/>
        <w:jc w:val="both"/>
      </w:pPr>
      <w:r>
        <w:rPr>
          <w:rFonts w:ascii="Arial" w:hAnsi="Arial" w:cs="Arial"/>
          <w:bCs/>
          <w:sz w:val="24"/>
          <w:szCs w:val="28"/>
        </w:rPr>
        <w:t>Końcowy r</w:t>
      </w:r>
      <w:r w:rsidR="00576A67" w:rsidRPr="005C573E">
        <w:rPr>
          <w:rFonts w:ascii="Arial" w:hAnsi="Arial" w:cs="Arial"/>
          <w:bCs/>
          <w:sz w:val="24"/>
          <w:szCs w:val="28"/>
        </w:rPr>
        <w:t xml:space="preserve">aport </w:t>
      </w:r>
      <w:r>
        <w:rPr>
          <w:rFonts w:ascii="Arial" w:hAnsi="Arial" w:cs="Arial"/>
          <w:bCs/>
          <w:sz w:val="24"/>
          <w:szCs w:val="28"/>
        </w:rPr>
        <w:t xml:space="preserve">analityczny </w:t>
      </w:r>
      <w:r w:rsidR="00576A67" w:rsidRPr="005C573E">
        <w:rPr>
          <w:rFonts w:ascii="Arial" w:hAnsi="Arial" w:cs="Arial"/>
          <w:bCs/>
          <w:sz w:val="24"/>
          <w:szCs w:val="28"/>
        </w:rPr>
        <w:t xml:space="preserve">zostanie oceniony pod kątem osiągnięcia celów szczegółowych badania, zgodnie z przyjętą metodyką oraz wymaganiami technicznymi określonymi w innej części OPZ. Zamawiający zaakceptuje raport analityczny lub sformułuje do niego uwagi w ciągu 4 dni roboczych od otrzymania materiału. Wykonawca w ciągu 3 dni roboczych odeśle skorygowany </w:t>
      </w:r>
      <w:r w:rsidR="00576A67" w:rsidRPr="005C573E">
        <w:rPr>
          <w:rFonts w:ascii="Arial" w:hAnsi="Arial" w:cs="Arial"/>
          <w:bCs/>
          <w:sz w:val="24"/>
          <w:szCs w:val="28"/>
        </w:rPr>
        <w:lastRenderedPageBreak/>
        <w:t xml:space="preserve">raport. Dalsze przekazywanie uwag przez Zamawiającego odbywać się będzie w ciągu 4 dni roboczych od otrzymania materiału, a i ich uwzględnianie przez Wykonawcę musi odbywać się w ciągu co najwyżej 3 dni roboczych. Wykonawca uwzględni wszystkie uwagi i przekaże Zamawiającemu ww. materiał niewymagający dalszych poprawek, jednak nie później niż w ciągu 170 dni kalendarzowych od daty umowy. Wykonawca dostarczy Zamawiającemu zaakceptowany końcowy raport analityczny w wersji elektronicznej oraz papierowej podpisanej przez Wykonawcę oraz autorów raportu i opatrzonej pieczęcią Wykonawcy. </w:t>
      </w:r>
    </w:p>
    <w:p w14:paraId="32C2E57D" w14:textId="77777777" w:rsidR="00576A67" w:rsidRPr="005C573E" w:rsidRDefault="00576A67" w:rsidP="00576A67">
      <w:pPr>
        <w:suppressAutoHyphens w:val="0"/>
        <w:spacing w:after="0" w:line="23" w:lineRule="atLeast"/>
        <w:jc w:val="both"/>
        <w:rPr>
          <w:rFonts w:ascii="Arial" w:hAnsi="Arial" w:cs="Arial"/>
          <w:kern w:val="0"/>
          <w:sz w:val="28"/>
          <w:szCs w:val="28"/>
        </w:rPr>
      </w:pPr>
    </w:p>
    <w:p w14:paraId="79EACC51" w14:textId="77777777" w:rsidR="00576A67" w:rsidRPr="005C573E" w:rsidRDefault="00576A67" w:rsidP="00576A67">
      <w:pPr>
        <w:pStyle w:val="Akapitzlist"/>
        <w:numPr>
          <w:ilvl w:val="0"/>
          <w:numId w:val="1"/>
        </w:numPr>
        <w:suppressAutoHyphens w:val="0"/>
        <w:spacing w:line="23" w:lineRule="atLeast"/>
        <w:jc w:val="both"/>
        <w:rPr>
          <w:rFonts w:ascii="Arial" w:hAnsi="Arial" w:cs="Arial"/>
          <w:b/>
          <w:bCs/>
          <w:sz w:val="24"/>
          <w:szCs w:val="28"/>
        </w:rPr>
      </w:pPr>
      <w:r w:rsidRPr="005C573E">
        <w:rPr>
          <w:rFonts w:ascii="Arial" w:hAnsi="Arial" w:cs="Arial"/>
          <w:b/>
          <w:bCs/>
          <w:sz w:val="24"/>
          <w:szCs w:val="28"/>
        </w:rPr>
        <w:t>Wymagania wobec Wykonawcy / Współpraca z Zamawiającym:</w:t>
      </w:r>
    </w:p>
    <w:p w14:paraId="3FAD37F3" w14:textId="77777777" w:rsidR="00576A67" w:rsidRPr="005C573E" w:rsidRDefault="00576A67" w:rsidP="00576A67">
      <w:pPr>
        <w:suppressAutoHyphens w:val="0"/>
        <w:spacing w:after="0" w:line="23" w:lineRule="atLeast"/>
        <w:contextualSpacing/>
        <w:jc w:val="both"/>
        <w:rPr>
          <w:rFonts w:ascii="Arial" w:eastAsia="Times New Roman" w:hAnsi="Arial" w:cs="Arial"/>
          <w:sz w:val="24"/>
          <w:szCs w:val="28"/>
          <w:lang w:eastAsia="pl-PL"/>
        </w:rPr>
      </w:pPr>
      <w:r w:rsidRPr="005C573E">
        <w:rPr>
          <w:rFonts w:ascii="Arial" w:eastAsia="Times New Roman" w:hAnsi="Arial" w:cs="Arial"/>
          <w:sz w:val="24"/>
          <w:szCs w:val="28"/>
          <w:lang w:eastAsia="pl-PL"/>
        </w:rPr>
        <w:t xml:space="preserve">Od Wykonawcy oczekuje się sprawnej i terminowej realizacji badania oraz współpracy z Zamawiającym, jak również wykonywania powierzonych mu zadań z zamiarem pełnej realizacji celów badania i dążenia do uzyskania poprawnych metodycznie, prawdziwych i uzasadnionych odpowiedzi na pytania, zgodnie ze standardami naukowymi i potrzebami informacyjnymi odbiorców. </w:t>
      </w:r>
    </w:p>
    <w:p w14:paraId="73483287" w14:textId="77777777" w:rsidR="00576A67" w:rsidRPr="005C573E" w:rsidRDefault="00576A67" w:rsidP="00576A67">
      <w:pPr>
        <w:suppressAutoHyphens w:val="0"/>
        <w:spacing w:after="0" w:line="23" w:lineRule="atLeast"/>
        <w:contextualSpacing/>
        <w:jc w:val="both"/>
        <w:rPr>
          <w:rFonts w:ascii="Arial" w:eastAsia="Times New Roman" w:hAnsi="Arial" w:cs="Arial"/>
          <w:sz w:val="24"/>
          <w:szCs w:val="28"/>
          <w:lang w:eastAsia="pl-PL"/>
        </w:rPr>
      </w:pPr>
      <w:r w:rsidRPr="005C573E">
        <w:rPr>
          <w:rFonts w:ascii="Arial" w:eastAsia="Times New Roman" w:hAnsi="Arial" w:cs="Arial"/>
          <w:sz w:val="24"/>
          <w:szCs w:val="28"/>
          <w:lang w:eastAsia="pl-PL"/>
        </w:rPr>
        <w:t>W trakcie realizacji badania od Wykonawcy wymaga się:</w:t>
      </w:r>
    </w:p>
    <w:p w14:paraId="33C7494C" w14:textId="77777777" w:rsidR="00576A67" w:rsidRPr="005C573E" w:rsidRDefault="00576A67" w:rsidP="00576A67">
      <w:pPr>
        <w:numPr>
          <w:ilvl w:val="0"/>
          <w:numId w:val="8"/>
        </w:numPr>
        <w:suppressAutoHyphens w:val="0"/>
        <w:spacing w:after="0" w:line="23" w:lineRule="atLeast"/>
        <w:contextualSpacing/>
        <w:jc w:val="both"/>
        <w:rPr>
          <w:rFonts w:ascii="Arial" w:eastAsia="Times New Roman" w:hAnsi="Arial" w:cs="Arial"/>
          <w:sz w:val="24"/>
          <w:szCs w:val="28"/>
          <w:lang w:eastAsia="pl-PL"/>
        </w:rPr>
      </w:pPr>
      <w:r w:rsidRPr="005C573E">
        <w:rPr>
          <w:rFonts w:ascii="Arial" w:eastAsia="Times New Roman" w:hAnsi="Arial" w:cs="Arial"/>
          <w:sz w:val="24"/>
          <w:szCs w:val="28"/>
          <w:lang w:eastAsia="pl-PL"/>
        </w:rPr>
        <w:t>opracowania szczegółowego harmonogramu, uwzględniającego przyporządkowanie zadań do poszczególnych członków zespołu badawczo-analitycznego, gwarantującego terminowość i rzetelność wykonania badania poprzez uwzględnienie czasu na poprawki i uwagi Zamawiającego do projektu końcowego raportu analitycznego;</w:t>
      </w:r>
    </w:p>
    <w:p w14:paraId="7F53C3F2" w14:textId="77777777" w:rsidR="00576A67" w:rsidRPr="005C573E" w:rsidRDefault="00576A67" w:rsidP="00576A67">
      <w:pPr>
        <w:numPr>
          <w:ilvl w:val="0"/>
          <w:numId w:val="8"/>
        </w:numPr>
        <w:suppressAutoHyphens w:val="0"/>
        <w:spacing w:after="0" w:line="23" w:lineRule="atLeast"/>
        <w:contextualSpacing/>
        <w:jc w:val="both"/>
        <w:rPr>
          <w:rFonts w:ascii="Arial" w:eastAsia="Times New Roman" w:hAnsi="Arial" w:cs="Arial"/>
          <w:sz w:val="24"/>
          <w:szCs w:val="28"/>
          <w:lang w:eastAsia="pl-PL"/>
        </w:rPr>
      </w:pPr>
      <w:r w:rsidRPr="005C573E">
        <w:rPr>
          <w:rFonts w:ascii="Arial" w:eastAsia="Times New Roman" w:hAnsi="Arial" w:cs="Arial"/>
          <w:sz w:val="24"/>
          <w:szCs w:val="28"/>
          <w:lang w:eastAsia="pl-PL"/>
        </w:rPr>
        <w:t>realizacji badania zgodnie z założeniami oraz konsultowania z Zamawiającym wszystkich narzędzi badawczych;</w:t>
      </w:r>
    </w:p>
    <w:p w14:paraId="4B9104DD" w14:textId="77777777" w:rsidR="00576A67" w:rsidRPr="005C573E" w:rsidRDefault="00576A67" w:rsidP="00576A67">
      <w:pPr>
        <w:numPr>
          <w:ilvl w:val="0"/>
          <w:numId w:val="8"/>
        </w:numPr>
        <w:suppressAutoHyphens w:val="0"/>
        <w:spacing w:after="0" w:line="23" w:lineRule="atLeast"/>
        <w:contextualSpacing/>
        <w:jc w:val="both"/>
        <w:rPr>
          <w:rFonts w:ascii="Arial" w:eastAsia="Times New Roman" w:hAnsi="Arial" w:cs="Arial"/>
          <w:sz w:val="24"/>
          <w:szCs w:val="28"/>
          <w:lang w:eastAsia="pl-PL"/>
        </w:rPr>
      </w:pPr>
      <w:r w:rsidRPr="005C573E">
        <w:rPr>
          <w:rFonts w:ascii="Arial" w:eastAsia="Times New Roman" w:hAnsi="Arial" w:cs="Arial"/>
          <w:sz w:val="24"/>
          <w:szCs w:val="28"/>
          <w:lang w:eastAsia="pl-PL"/>
        </w:rPr>
        <w:t>konsultowania założeń metodycznych badania i wszelkich materiałów;</w:t>
      </w:r>
    </w:p>
    <w:p w14:paraId="15746622" w14:textId="77777777" w:rsidR="00576A67" w:rsidRPr="005C573E" w:rsidRDefault="00576A67" w:rsidP="00576A67">
      <w:pPr>
        <w:numPr>
          <w:ilvl w:val="0"/>
          <w:numId w:val="8"/>
        </w:numPr>
        <w:suppressAutoHyphens w:val="0"/>
        <w:spacing w:after="0" w:line="23" w:lineRule="atLeast"/>
        <w:contextualSpacing/>
        <w:jc w:val="both"/>
        <w:rPr>
          <w:rFonts w:ascii="Arial" w:eastAsia="Times New Roman" w:hAnsi="Arial" w:cs="Arial"/>
          <w:sz w:val="24"/>
          <w:szCs w:val="28"/>
          <w:lang w:eastAsia="pl-PL"/>
        </w:rPr>
      </w:pPr>
      <w:r w:rsidRPr="005C573E">
        <w:rPr>
          <w:rFonts w:ascii="Arial" w:eastAsia="Times New Roman" w:hAnsi="Arial" w:cs="Arial"/>
          <w:sz w:val="24"/>
          <w:szCs w:val="28"/>
          <w:lang w:eastAsia="pl-PL"/>
        </w:rPr>
        <w:t>zapewnienia ekspertom badań poufności w celu uzyskania jak najbardziej wiarygodnych danych;</w:t>
      </w:r>
    </w:p>
    <w:p w14:paraId="2D7EE3A5" w14:textId="77777777" w:rsidR="00576A67" w:rsidRPr="005C573E" w:rsidRDefault="00576A67" w:rsidP="00576A67">
      <w:pPr>
        <w:numPr>
          <w:ilvl w:val="0"/>
          <w:numId w:val="8"/>
        </w:numPr>
        <w:suppressAutoHyphens w:val="0"/>
        <w:spacing w:after="0" w:line="23" w:lineRule="atLeast"/>
        <w:contextualSpacing/>
        <w:jc w:val="both"/>
        <w:rPr>
          <w:rFonts w:ascii="Arial" w:eastAsia="Times New Roman" w:hAnsi="Arial" w:cs="Arial"/>
          <w:sz w:val="24"/>
          <w:szCs w:val="28"/>
          <w:lang w:eastAsia="pl-PL"/>
        </w:rPr>
      </w:pPr>
      <w:r w:rsidRPr="005C573E">
        <w:rPr>
          <w:rFonts w:ascii="Arial" w:eastAsia="Times New Roman" w:hAnsi="Arial" w:cs="Arial"/>
          <w:sz w:val="24"/>
          <w:szCs w:val="28"/>
          <w:lang w:eastAsia="pl-PL"/>
        </w:rPr>
        <w:t>sprawnej i terminowej realizacji badania, w tym uwzględniania uwag i sugestii zgłaszanych przez Zamawiającego w trakcie jego realizacji;</w:t>
      </w:r>
    </w:p>
    <w:p w14:paraId="77EFFABE" w14:textId="77777777" w:rsidR="00576A67" w:rsidRPr="005C573E" w:rsidRDefault="00576A67" w:rsidP="00576A67">
      <w:pPr>
        <w:numPr>
          <w:ilvl w:val="0"/>
          <w:numId w:val="8"/>
        </w:numPr>
        <w:suppressAutoHyphens w:val="0"/>
        <w:spacing w:line="23" w:lineRule="atLeast"/>
        <w:contextualSpacing/>
        <w:jc w:val="both"/>
      </w:pPr>
      <w:r w:rsidRPr="005C573E">
        <w:rPr>
          <w:rFonts w:ascii="Arial" w:eastAsia="Times New Roman" w:hAnsi="Arial" w:cs="Arial"/>
          <w:sz w:val="24"/>
          <w:szCs w:val="28"/>
          <w:lang w:eastAsia="pl-PL"/>
        </w:rPr>
        <w:t>pozostawania w stałym kontakcie z Zamawiającym (wyznaczenie osoby do kontaktów roboczych, kontakty telefoniczne i e-mail, niezawodny udział w spotkaniach</w:t>
      </w:r>
      <w:r w:rsidRPr="005C573E">
        <w:rPr>
          <w:rFonts w:ascii="Arial" w:eastAsia="Times New Roman" w:hAnsi="Arial" w:cs="Arial"/>
          <w:sz w:val="24"/>
          <w:szCs w:val="28"/>
          <w:vertAlign w:val="superscript"/>
          <w:lang w:eastAsia="pl-PL"/>
        </w:rPr>
        <w:footnoteReference w:id="3"/>
      </w:r>
      <w:r w:rsidRPr="005C573E">
        <w:rPr>
          <w:rFonts w:ascii="Arial" w:eastAsia="Times New Roman" w:hAnsi="Arial" w:cs="Arial"/>
          <w:sz w:val="24"/>
          <w:szCs w:val="28"/>
          <w:lang w:eastAsia="pl-PL"/>
        </w:rPr>
        <w:t xml:space="preserve"> odpowiednio do potrzeb zgłaszanych przez Zamawiającego);</w:t>
      </w:r>
    </w:p>
    <w:p w14:paraId="4C734801" w14:textId="77777777" w:rsidR="00576A67" w:rsidRPr="005C573E" w:rsidRDefault="00576A67" w:rsidP="00576A67">
      <w:pPr>
        <w:numPr>
          <w:ilvl w:val="0"/>
          <w:numId w:val="8"/>
        </w:numPr>
        <w:suppressAutoHyphens w:val="0"/>
        <w:spacing w:after="0" w:line="23" w:lineRule="atLeast"/>
        <w:contextualSpacing/>
        <w:jc w:val="both"/>
        <w:rPr>
          <w:rFonts w:ascii="Arial" w:eastAsia="Times New Roman" w:hAnsi="Arial" w:cs="Arial"/>
          <w:sz w:val="24"/>
          <w:szCs w:val="28"/>
          <w:lang w:eastAsia="pl-PL"/>
        </w:rPr>
      </w:pPr>
      <w:r w:rsidRPr="005C573E">
        <w:rPr>
          <w:rFonts w:ascii="Arial" w:eastAsia="Times New Roman" w:hAnsi="Arial" w:cs="Arial"/>
          <w:sz w:val="24"/>
          <w:szCs w:val="28"/>
          <w:lang w:eastAsia="pl-PL"/>
        </w:rPr>
        <w:t>bezzwłocznego informowania o stanie prac, pojawiających się problemach, zagrożeniach lub opóźnieniach w realizacji w stosunku do harmonogramu, a także innych zagadnieniach istotnych dla realizacji badania (na bieżąco, m.in. w postaci przesyłanych Zamawiającemu w formie elektronicznej informacji cząstkowych nt. realizacji badania);</w:t>
      </w:r>
    </w:p>
    <w:p w14:paraId="7D9E274D" w14:textId="77777777" w:rsidR="00576A67" w:rsidRPr="005C573E" w:rsidRDefault="00576A67" w:rsidP="00576A67">
      <w:pPr>
        <w:numPr>
          <w:ilvl w:val="0"/>
          <w:numId w:val="8"/>
        </w:numPr>
        <w:suppressAutoHyphens w:val="0"/>
        <w:spacing w:line="23" w:lineRule="atLeast"/>
        <w:contextualSpacing/>
        <w:jc w:val="both"/>
        <w:rPr>
          <w:rFonts w:ascii="Arial" w:eastAsia="Times New Roman" w:hAnsi="Arial" w:cs="Arial"/>
          <w:sz w:val="24"/>
          <w:szCs w:val="28"/>
          <w:lang w:eastAsia="pl-PL"/>
        </w:rPr>
      </w:pPr>
      <w:r w:rsidRPr="005C573E">
        <w:rPr>
          <w:rFonts w:ascii="Arial" w:eastAsia="Times New Roman" w:hAnsi="Arial" w:cs="Arial"/>
          <w:sz w:val="24"/>
          <w:szCs w:val="28"/>
          <w:lang w:eastAsia="pl-PL"/>
        </w:rPr>
        <w:t>przekazywania, na każde życzenie Zamawiającego, pełnej informacji o stanie realizacji badania;</w:t>
      </w:r>
    </w:p>
    <w:p w14:paraId="3756A61E" w14:textId="77777777" w:rsidR="00576A67" w:rsidRPr="005C573E" w:rsidRDefault="00576A67" w:rsidP="00576A67">
      <w:pPr>
        <w:numPr>
          <w:ilvl w:val="0"/>
          <w:numId w:val="8"/>
        </w:numPr>
        <w:suppressAutoHyphens w:val="0"/>
        <w:spacing w:after="0" w:line="23" w:lineRule="atLeast"/>
        <w:contextualSpacing/>
        <w:jc w:val="both"/>
        <w:rPr>
          <w:rFonts w:ascii="Arial" w:eastAsia="Times New Roman" w:hAnsi="Arial" w:cs="Arial"/>
          <w:sz w:val="24"/>
          <w:szCs w:val="28"/>
          <w:lang w:eastAsia="pl-PL"/>
        </w:rPr>
      </w:pPr>
      <w:r w:rsidRPr="005C573E">
        <w:rPr>
          <w:rFonts w:ascii="Arial" w:eastAsia="Times New Roman" w:hAnsi="Arial" w:cs="Arial"/>
          <w:sz w:val="24"/>
          <w:szCs w:val="28"/>
          <w:lang w:eastAsia="pl-PL"/>
        </w:rPr>
        <w:t>konsultowania z Zamawiającym decyzji związanych z realizacją badania, podejmowanych w wyniku ewentualnego pojawienia się trudności w trakcie jego realizacji;</w:t>
      </w:r>
    </w:p>
    <w:p w14:paraId="122F8B2B" w14:textId="77777777" w:rsidR="00576A67" w:rsidRPr="005C573E" w:rsidRDefault="00576A67" w:rsidP="00576A67">
      <w:pPr>
        <w:pStyle w:val="Akapitzlist"/>
        <w:numPr>
          <w:ilvl w:val="0"/>
          <w:numId w:val="8"/>
        </w:numPr>
        <w:spacing w:after="0" w:line="23" w:lineRule="atLeast"/>
        <w:jc w:val="both"/>
      </w:pPr>
      <w:r w:rsidRPr="005C573E">
        <w:rPr>
          <w:rFonts w:ascii="Arial" w:eastAsia="Times New Roman" w:hAnsi="Arial" w:cs="Arial"/>
          <w:sz w:val="24"/>
          <w:szCs w:val="28"/>
          <w:lang w:eastAsia="pl-PL"/>
        </w:rPr>
        <w:t>udokumentowania uzyskanego podczas badań materiału badawczego – kwestionariuszy ankiet, bazy danych oraz przekazania ich (lub udostępnienia ich) Zamawiającemu. Wszystkie zestawienia wyników oraz wynikowe bazy danych na nośniku elektronicznym, muszą być przekazane Zamawiającemu wraz z końcowym raportem analitycznym. Na początku realizacji badania pilotażowego Wykonawca zapewni Zamawiającemu dostęp do serwera, na którym umieszczane będą na bieżąco, przez cały okres pilotażu i badania właściwego</w:t>
      </w:r>
      <w:r w:rsidRPr="005C573E">
        <w:rPr>
          <w:rFonts w:ascii="Arial" w:hAnsi="Arial" w:cs="Arial"/>
          <w:sz w:val="24"/>
          <w:szCs w:val="24"/>
        </w:rPr>
        <w:t xml:space="preserve"> </w:t>
      </w:r>
      <w:r w:rsidRPr="005C573E">
        <w:rPr>
          <w:rFonts w:ascii="Arial" w:eastAsia="Times New Roman" w:hAnsi="Arial" w:cs="Arial"/>
          <w:sz w:val="24"/>
          <w:szCs w:val="28"/>
          <w:lang w:eastAsia="pl-PL"/>
        </w:rPr>
        <w:t>wynikowe bazy danych. Dostęp ten będzie możliwy aż do końcowego odbioru przez Zamawiającego przedmiotu zamówienia;</w:t>
      </w:r>
    </w:p>
    <w:p w14:paraId="44FAA1ED" w14:textId="52ACB213" w:rsidR="00576A67" w:rsidRPr="005C573E" w:rsidRDefault="00576A67" w:rsidP="00576A67">
      <w:pPr>
        <w:pStyle w:val="Akapitzlist"/>
        <w:numPr>
          <w:ilvl w:val="0"/>
          <w:numId w:val="8"/>
        </w:numPr>
        <w:spacing w:after="0" w:line="23" w:lineRule="atLeast"/>
        <w:jc w:val="both"/>
        <w:rPr>
          <w:rFonts w:ascii="Arial" w:eastAsia="Times New Roman" w:hAnsi="Arial" w:cs="Arial"/>
          <w:sz w:val="24"/>
          <w:szCs w:val="28"/>
          <w:lang w:eastAsia="pl-PL"/>
        </w:rPr>
      </w:pPr>
      <w:r w:rsidRPr="005C573E">
        <w:rPr>
          <w:rFonts w:ascii="Arial" w:eastAsia="Times New Roman" w:hAnsi="Arial" w:cs="Arial"/>
          <w:sz w:val="24"/>
          <w:szCs w:val="28"/>
          <w:lang w:eastAsia="pl-PL"/>
        </w:rPr>
        <w:t>zapewnienia w trakcie realizacji zamówienia stosowania przepisów dotyczących ochrony danych osobowych</w:t>
      </w:r>
      <w:r w:rsidR="00937567">
        <w:rPr>
          <w:rFonts w:ascii="Arial" w:eastAsia="Times New Roman" w:hAnsi="Arial" w:cs="Arial"/>
          <w:sz w:val="24"/>
          <w:szCs w:val="28"/>
          <w:lang w:eastAsia="pl-PL"/>
        </w:rPr>
        <w:t>.</w:t>
      </w:r>
    </w:p>
    <w:p w14:paraId="5E22C881" w14:textId="77777777" w:rsidR="00576A67" w:rsidRPr="005C573E" w:rsidRDefault="00576A67" w:rsidP="00576A67">
      <w:pPr>
        <w:pageBreakBefore/>
        <w:suppressAutoHyphens w:val="0"/>
        <w:rPr>
          <w:rFonts w:ascii="Arial" w:eastAsia="Times New Roman" w:hAnsi="Arial" w:cs="Arial"/>
          <w:sz w:val="24"/>
          <w:szCs w:val="28"/>
          <w:lang w:eastAsia="pl-PL"/>
        </w:rPr>
      </w:pPr>
    </w:p>
    <w:p w14:paraId="7772DAAC" w14:textId="77777777" w:rsidR="00576A67" w:rsidRPr="005C573E" w:rsidRDefault="00576A67" w:rsidP="00576A67">
      <w:pPr>
        <w:suppressAutoHyphens w:val="0"/>
        <w:spacing w:after="0" w:line="23" w:lineRule="atLeast"/>
        <w:jc w:val="both"/>
        <w:rPr>
          <w:rFonts w:ascii="Arial" w:hAnsi="Arial" w:cs="Arial"/>
          <w:kern w:val="0"/>
          <w:sz w:val="32"/>
          <w:szCs w:val="32"/>
        </w:rPr>
      </w:pPr>
    </w:p>
    <w:p w14:paraId="0C3BE236" w14:textId="77777777" w:rsidR="00576A67" w:rsidRPr="005C573E" w:rsidRDefault="00576A67" w:rsidP="00576A67">
      <w:pPr>
        <w:pStyle w:val="Akapitzlist"/>
        <w:numPr>
          <w:ilvl w:val="0"/>
          <w:numId w:val="1"/>
        </w:numPr>
        <w:suppressAutoHyphens w:val="0"/>
        <w:spacing w:after="100" w:line="23" w:lineRule="atLeast"/>
        <w:jc w:val="both"/>
        <w:rPr>
          <w:rFonts w:ascii="Arial" w:hAnsi="Arial" w:cs="Arial"/>
          <w:b/>
          <w:bCs/>
          <w:kern w:val="0"/>
          <w:sz w:val="24"/>
          <w:szCs w:val="24"/>
        </w:rPr>
      </w:pPr>
      <w:r w:rsidRPr="005C573E">
        <w:rPr>
          <w:rFonts w:ascii="Arial" w:hAnsi="Arial" w:cs="Arial"/>
          <w:b/>
          <w:bCs/>
          <w:kern w:val="0"/>
          <w:sz w:val="24"/>
          <w:szCs w:val="24"/>
        </w:rPr>
        <w:t xml:space="preserve">Wymagania </w:t>
      </w:r>
      <w:proofErr w:type="gramStart"/>
      <w:r w:rsidRPr="005C573E">
        <w:rPr>
          <w:rFonts w:ascii="Arial" w:hAnsi="Arial" w:cs="Arial"/>
          <w:b/>
          <w:bCs/>
          <w:kern w:val="0"/>
          <w:sz w:val="24"/>
          <w:szCs w:val="24"/>
        </w:rPr>
        <w:t>odnośnie</w:t>
      </w:r>
      <w:proofErr w:type="gramEnd"/>
      <w:r w:rsidRPr="005C573E">
        <w:rPr>
          <w:rFonts w:ascii="Arial" w:hAnsi="Arial" w:cs="Arial"/>
          <w:b/>
          <w:bCs/>
          <w:kern w:val="0"/>
          <w:sz w:val="24"/>
          <w:szCs w:val="24"/>
        </w:rPr>
        <w:t xml:space="preserve"> wywiadów i raportów:</w:t>
      </w:r>
    </w:p>
    <w:p w14:paraId="7061F07B" w14:textId="057F0784" w:rsidR="00576A67" w:rsidRPr="005C573E" w:rsidRDefault="00576A67" w:rsidP="00576A67">
      <w:pPr>
        <w:suppressAutoHyphens w:val="0"/>
        <w:spacing w:after="0" w:line="23" w:lineRule="atLeast"/>
        <w:jc w:val="both"/>
        <w:rPr>
          <w:rFonts w:ascii="Arial" w:hAnsi="Arial" w:cs="Arial"/>
          <w:kern w:val="0"/>
          <w:sz w:val="24"/>
          <w:szCs w:val="24"/>
        </w:rPr>
      </w:pPr>
      <w:r w:rsidRPr="005C573E">
        <w:rPr>
          <w:rFonts w:ascii="Arial" w:hAnsi="Arial" w:cs="Arial"/>
          <w:kern w:val="0"/>
          <w:sz w:val="24"/>
          <w:szCs w:val="24"/>
        </w:rPr>
        <w:t xml:space="preserve">Głównym produktem zamówienia będzie końcowy raport analityczny. Raport analityczny musi obejmować minimum 190 stron, maksimum 220 stron ze stroną tytułową, spisem treści, analizą </w:t>
      </w:r>
      <w:proofErr w:type="spellStart"/>
      <w:r w:rsidRPr="005C573E">
        <w:rPr>
          <w:rFonts w:ascii="Arial" w:hAnsi="Arial" w:cs="Arial"/>
          <w:kern w:val="0"/>
          <w:sz w:val="24"/>
          <w:szCs w:val="24"/>
        </w:rPr>
        <w:t>desk</w:t>
      </w:r>
      <w:proofErr w:type="spellEnd"/>
      <w:r w:rsidRPr="005C573E">
        <w:rPr>
          <w:rFonts w:ascii="Arial" w:hAnsi="Arial" w:cs="Arial"/>
          <w:kern w:val="0"/>
          <w:sz w:val="24"/>
          <w:szCs w:val="24"/>
        </w:rPr>
        <w:t xml:space="preserve"> </w:t>
      </w:r>
      <w:proofErr w:type="spellStart"/>
      <w:r w:rsidRPr="005C573E">
        <w:rPr>
          <w:rFonts w:ascii="Arial" w:hAnsi="Arial" w:cs="Arial"/>
          <w:kern w:val="0"/>
          <w:sz w:val="24"/>
          <w:szCs w:val="24"/>
        </w:rPr>
        <w:t>research</w:t>
      </w:r>
      <w:proofErr w:type="spellEnd"/>
      <w:r w:rsidRPr="005C573E">
        <w:rPr>
          <w:rFonts w:ascii="Arial" w:hAnsi="Arial" w:cs="Arial"/>
          <w:kern w:val="0"/>
          <w:sz w:val="24"/>
          <w:szCs w:val="24"/>
        </w:rPr>
        <w:t xml:space="preserve"> z raportu metodycznego, podsumowaniem zrealizowanych badań - z najważniejszymi wnioskami i rekomendacjami oraz streszczeniem. Końcowy raport </w:t>
      </w:r>
      <w:proofErr w:type="gramStart"/>
      <w:r w:rsidRPr="005C573E">
        <w:rPr>
          <w:rFonts w:ascii="Arial" w:hAnsi="Arial" w:cs="Arial"/>
          <w:kern w:val="0"/>
          <w:sz w:val="24"/>
          <w:szCs w:val="24"/>
        </w:rPr>
        <w:t>analityczny  zaakceptowany</w:t>
      </w:r>
      <w:proofErr w:type="gramEnd"/>
      <w:r w:rsidRPr="005C573E">
        <w:rPr>
          <w:rFonts w:ascii="Arial" w:hAnsi="Arial" w:cs="Arial"/>
          <w:kern w:val="0"/>
          <w:sz w:val="24"/>
          <w:szCs w:val="24"/>
        </w:rPr>
        <w:t xml:space="preserve"> przez Zamawiającego musi być przekazany przez Wykonawcę w dwóch plikach: plik nr 1 przekazany Zamawiającemu  w edytorze tekstu bez dodatkowych wymagań, plik nr 2 przekazany Zamawiającemu w edytorze tekstu z dodatkowymi wymaganiami. Parametry techniczne pliku nr 2: czcionka Arial 12, interlinia pojedyncza, odstęp przed akapitem 6 pkt., po akapicie 0 pkt., dzielenie wyrazów wyłączone, bez użycia czcionki pogrubionej i kursywy, wersalików i kolorowania tekstu, hiperłącza (linki) podkreślone. W przypadku zastosowania tabel linie jej siatki muszą być widoczne, jak również nagłówek tabeli, gdy przesunie się ona na kolejną stronę, tekst w tabeli wyrównany do lewej, a liczby do prawej. Dodatkowe elementy (np. grafika, wykresy, grafy, mapy) powinny zawierać tekst alternatywny. </w:t>
      </w:r>
    </w:p>
    <w:p w14:paraId="785387BB" w14:textId="77777777" w:rsidR="00576A67" w:rsidRPr="005C573E" w:rsidRDefault="00576A67" w:rsidP="00576A67">
      <w:pPr>
        <w:suppressAutoHyphens w:val="0"/>
        <w:spacing w:after="0" w:line="23" w:lineRule="atLeast"/>
        <w:jc w:val="both"/>
        <w:rPr>
          <w:rFonts w:ascii="Arial" w:hAnsi="Arial" w:cs="Arial"/>
          <w:kern w:val="0"/>
          <w:sz w:val="24"/>
          <w:szCs w:val="24"/>
        </w:rPr>
      </w:pPr>
      <w:r w:rsidRPr="005C573E">
        <w:rPr>
          <w:rFonts w:ascii="Arial" w:hAnsi="Arial" w:cs="Arial"/>
          <w:kern w:val="0"/>
          <w:sz w:val="24"/>
          <w:szCs w:val="24"/>
        </w:rPr>
        <w:t xml:space="preserve">Raport nie może być ilustrowany zdjęciami i rysunkami. Infografiki, mapy, wykresy i tabele są dopuszczalne, ale maksymalnie w liczbie 12. </w:t>
      </w:r>
    </w:p>
    <w:p w14:paraId="378B0440" w14:textId="77777777" w:rsidR="00576A67" w:rsidRPr="005C573E" w:rsidRDefault="00576A67" w:rsidP="00576A67">
      <w:pPr>
        <w:suppressAutoHyphens w:val="0"/>
        <w:spacing w:after="0" w:line="23" w:lineRule="atLeast"/>
        <w:jc w:val="both"/>
        <w:rPr>
          <w:rFonts w:ascii="Arial" w:hAnsi="Arial" w:cs="Arial"/>
          <w:kern w:val="0"/>
          <w:sz w:val="24"/>
          <w:szCs w:val="24"/>
        </w:rPr>
      </w:pPr>
      <w:r w:rsidRPr="005C573E">
        <w:rPr>
          <w:rFonts w:ascii="Arial" w:hAnsi="Arial" w:cs="Arial"/>
          <w:kern w:val="0"/>
          <w:sz w:val="24"/>
          <w:szCs w:val="24"/>
        </w:rPr>
        <w:t>Wszystkie infografiki, schematy, wykresy, mapy osadzone w tekście końcowego raportu analitycznego muszą być dostarczone dodatkowo w plikach otwartych (w formacie .</w:t>
      </w:r>
      <w:proofErr w:type="spellStart"/>
      <w:r w:rsidRPr="005C573E">
        <w:rPr>
          <w:rFonts w:ascii="Arial" w:hAnsi="Arial" w:cs="Arial"/>
          <w:kern w:val="0"/>
          <w:sz w:val="24"/>
          <w:szCs w:val="24"/>
        </w:rPr>
        <w:t>xlsx</w:t>
      </w:r>
      <w:proofErr w:type="spellEnd"/>
      <w:r w:rsidRPr="005C573E">
        <w:rPr>
          <w:rFonts w:ascii="Arial" w:hAnsi="Arial" w:cs="Arial"/>
          <w:kern w:val="0"/>
          <w:sz w:val="24"/>
          <w:szCs w:val="24"/>
        </w:rPr>
        <w:t xml:space="preserve">, formatach programów graficznych) umożliwiających edycję tych obiektów w późniejszym czasie przez wykonawcę usługi graficznej. </w:t>
      </w:r>
    </w:p>
    <w:p w14:paraId="6B2ED3B4" w14:textId="77777777" w:rsidR="00576A67" w:rsidRPr="005C573E" w:rsidRDefault="00576A67" w:rsidP="00576A67">
      <w:pPr>
        <w:suppressAutoHyphens w:val="0"/>
        <w:spacing w:after="0" w:line="23" w:lineRule="atLeast"/>
        <w:jc w:val="both"/>
      </w:pPr>
      <w:r w:rsidRPr="005C573E">
        <w:rPr>
          <w:rFonts w:ascii="Arial" w:hAnsi="Arial" w:cs="Arial"/>
          <w:kern w:val="0"/>
          <w:sz w:val="24"/>
          <w:szCs w:val="24"/>
        </w:rPr>
        <w:t xml:space="preserve">Raport metodyczny, raport śródokresowy oraz końcowy raport analityczny muszą być przygotowane w oparciu o zasady sztuki pisarskiej, etyczne standardy pracy oraz fachową literaturę przedmiotu oraz spełniać następujące wymagania: </w:t>
      </w:r>
    </w:p>
    <w:p w14:paraId="7E7C9307" w14:textId="77777777" w:rsidR="00576A67" w:rsidRPr="005C573E" w:rsidRDefault="00576A67" w:rsidP="00576A67">
      <w:pPr>
        <w:pStyle w:val="Akapitzlist"/>
        <w:numPr>
          <w:ilvl w:val="0"/>
          <w:numId w:val="9"/>
        </w:numPr>
        <w:suppressAutoHyphens w:val="0"/>
        <w:spacing w:after="0" w:line="23" w:lineRule="atLeast"/>
        <w:jc w:val="both"/>
        <w:rPr>
          <w:rFonts w:ascii="Arial" w:hAnsi="Arial" w:cs="Arial"/>
          <w:kern w:val="0"/>
          <w:sz w:val="24"/>
          <w:szCs w:val="24"/>
        </w:rPr>
      </w:pPr>
      <w:r w:rsidRPr="005C573E">
        <w:rPr>
          <w:rFonts w:ascii="Arial" w:hAnsi="Arial" w:cs="Arial"/>
          <w:kern w:val="0"/>
          <w:sz w:val="24"/>
          <w:szCs w:val="24"/>
        </w:rPr>
        <w:t>informacje oraz dane zawarte w raporcie są wolne od błędów rzeczowych i logicznych,</w:t>
      </w:r>
    </w:p>
    <w:p w14:paraId="0C217074" w14:textId="77777777" w:rsidR="00576A67" w:rsidRPr="005C573E" w:rsidRDefault="00576A67" w:rsidP="00576A67">
      <w:pPr>
        <w:pStyle w:val="Akapitzlist"/>
        <w:numPr>
          <w:ilvl w:val="0"/>
          <w:numId w:val="9"/>
        </w:numPr>
        <w:suppressAutoHyphens w:val="0"/>
        <w:spacing w:after="0" w:line="23" w:lineRule="atLeast"/>
        <w:jc w:val="both"/>
        <w:rPr>
          <w:rFonts w:ascii="Arial" w:hAnsi="Arial" w:cs="Arial"/>
          <w:kern w:val="0"/>
          <w:sz w:val="24"/>
          <w:szCs w:val="24"/>
        </w:rPr>
      </w:pPr>
      <w:r w:rsidRPr="005C573E">
        <w:rPr>
          <w:rFonts w:ascii="Arial" w:hAnsi="Arial" w:cs="Arial"/>
          <w:kern w:val="0"/>
          <w:sz w:val="24"/>
          <w:szCs w:val="24"/>
        </w:rPr>
        <w:t xml:space="preserve">raport jest zgodny z OPZ i ofertą Wykonawcy, </w:t>
      </w:r>
    </w:p>
    <w:p w14:paraId="79E3BDD2" w14:textId="77777777" w:rsidR="00576A67" w:rsidRPr="005C573E" w:rsidRDefault="00576A67" w:rsidP="00576A67">
      <w:pPr>
        <w:pStyle w:val="Akapitzlist"/>
        <w:numPr>
          <w:ilvl w:val="0"/>
          <w:numId w:val="9"/>
        </w:numPr>
        <w:suppressAutoHyphens w:val="0"/>
        <w:spacing w:after="0" w:line="23" w:lineRule="atLeast"/>
        <w:jc w:val="both"/>
        <w:rPr>
          <w:rFonts w:ascii="Arial" w:hAnsi="Arial" w:cs="Arial"/>
          <w:kern w:val="0"/>
          <w:sz w:val="24"/>
          <w:szCs w:val="24"/>
        </w:rPr>
      </w:pPr>
      <w:r w:rsidRPr="005C573E">
        <w:rPr>
          <w:rFonts w:ascii="Arial" w:hAnsi="Arial" w:cs="Arial"/>
          <w:kern w:val="0"/>
          <w:sz w:val="24"/>
          <w:szCs w:val="24"/>
        </w:rPr>
        <w:t xml:space="preserve">streszczenie raportu w sposób syntetyczny przedstawia zakres badania, zastosowaną metodykę oraz wskazuje na najważniejsze wnioski, </w:t>
      </w:r>
    </w:p>
    <w:p w14:paraId="30F61D85" w14:textId="77777777" w:rsidR="00576A67" w:rsidRPr="005C573E" w:rsidRDefault="00576A67" w:rsidP="00576A67">
      <w:pPr>
        <w:pStyle w:val="Akapitzlist"/>
        <w:numPr>
          <w:ilvl w:val="0"/>
          <w:numId w:val="9"/>
        </w:numPr>
        <w:suppressAutoHyphens w:val="0"/>
        <w:spacing w:after="0" w:line="23" w:lineRule="atLeast"/>
        <w:jc w:val="both"/>
        <w:rPr>
          <w:rFonts w:ascii="Arial" w:hAnsi="Arial" w:cs="Arial"/>
          <w:kern w:val="0"/>
          <w:sz w:val="24"/>
          <w:szCs w:val="24"/>
        </w:rPr>
      </w:pPr>
      <w:r w:rsidRPr="005C573E">
        <w:rPr>
          <w:rFonts w:ascii="Arial" w:hAnsi="Arial" w:cs="Arial"/>
          <w:kern w:val="0"/>
          <w:sz w:val="24"/>
          <w:szCs w:val="24"/>
        </w:rPr>
        <w:t>przedstawione w raporcie wyniki stanowią odzwierciedlenie zebranych w badaniu danych,</w:t>
      </w:r>
    </w:p>
    <w:p w14:paraId="6CD75772" w14:textId="77777777" w:rsidR="00576A67" w:rsidRPr="005C573E" w:rsidRDefault="00576A67" w:rsidP="00576A67">
      <w:pPr>
        <w:pStyle w:val="Akapitzlist"/>
        <w:numPr>
          <w:ilvl w:val="0"/>
          <w:numId w:val="9"/>
        </w:numPr>
        <w:suppressAutoHyphens w:val="0"/>
        <w:spacing w:after="0" w:line="23" w:lineRule="atLeast"/>
        <w:jc w:val="both"/>
        <w:rPr>
          <w:rFonts w:ascii="Arial" w:hAnsi="Arial" w:cs="Arial"/>
          <w:kern w:val="0"/>
          <w:sz w:val="24"/>
          <w:szCs w:val="24"/>
        </w:rPr>
      </w:pPr>
      <w:r w:rsidRPr="005C573E">
        <w:rPr>
          <w:rFonts w:ascii="Arial" w:hAnsi="Arial" w:cs="Arial"/>
          <w:kern w:val="0"/>
          <w:sz w:val="24"/>
          <w:szCs w:val="24"/>
        </w:rPr>
        <w:t>raport nie sprowadza się jedynie do zreferowania (streszczenia) uzyskanych danych i odpowiedzi respondentów,</w:t>
      </w:r>
    </w:p>
    <w:p w14:paraId="1C42B258" w14:textId="77777777" w:rsidR="00576A67" w:rsidRPr="005C573E" w:rsidRDefault="00576A67" w:rsidP="00576A67">
      <w:pPr>
        <w:pStyle w:val="Akapitzlist"/>
        <w:numPr>
          <w:ilvl w:val="0"/>
          <w:numId w:val="9"/>
        </w:numPr>
        <w:suppressAutoHyphens w:val="0"/>
        <w:spacing w:after="0" w:line="23" w:lineRule="atLeast"/>
        <w:jc w:val="both"/>
        <w:rPr>
          <w:rFonts w:ascii="Arial" w:hAnsi="Arial" w:cs="Arial"/>
          <w:kern w:val="0"/>
          <w:sz w:val="24"/>
          <w:szCs w:val="24"/>
        </w:rPr>
      </w:pPr>
      <w:r w:rsidRPr="005C573E">
        <w:rPr>
          <w:rFonts w:ascii="Arial" w:hAnsi="Arial" w:cs="Arial"/>
          <w:kern w:val="0"/>
          <w:sz w:val="24"/>
          <w:szCs w:val="24"/>
        </w:rPr>
        <w:t>raport realizuje wszystkie cele szczegółowe,</w:t>
      </w:r>
    </w:p>
    <w:p w14:paraId="45C08C3F" w14:textId="77777777" w:rsidR="00576A67" w:rsidRPr="005C573E" w:rsidRDefault="00576A67" w:rsidP="00576A67">
      <w:pPr>
        <w:pStyle w:val="Akapitzlist"/>
        <w:numPr>
          <w:ilvl w:val="0"/>
          <w:numId w:val="9"/>
        </w:numPr>
        <w:suppressAutoHyphens w:val="0"/>
        <w:spacing w:after="0" w:line="23" w:lineRule="atLeast"/>
        <w:jc w:val="both"/>
        <w:rPr>
          <w:rFonts w:ascii="Arial" w:hAnsi="Arial" w:cs="Arial"/>
          <w:kern w:val="0"/>
          <w:sz w:val="24"/>
          <w:szCs w:val="24"/>
        </w:rPr>
      </w:pPr>
      <w:r w:rsidRPr="005C573E">
        <w:rPr>
          <w:rFonts w:ascii="Arial" w:hAnsi="Arial" w:cs="Arial"/>
          <w:kern w:val="0"/>
          <w:sz w:val="24"/>
          <w:szCs w:val="24"/>
        </w:rPr>
        <w:t>raport zapewnia poufność respondentom,</w:t>
      </w:r>
    </w:p>
    <w:p w14:paraId="06D12229" w14:textId="64989F6D" w:rsidR="00576A67" w:rsidRPr="005C573E" w:rsidRDefault="00576A67" w:rsidP="00576A67">
      <w:pPr>
        <w:pStyle w:val="Akapitzlist"/>
        <w:numPr>
          <w:ilvl w:val="0"/>
          <w:numId w:val="9"/>
        </w:numPr>
        <w:suppressAutoHyphens w:val="0"/>
        <w:spacing w:after="0" w:line="23" w:lineRule="atLeast"/>
        <w:jc w:val="both"/>
        <w:rPr>
          <w:rFonts w:ascii="Arial" w:hAnsi="Arial" w:cs="Arial"/>
          <w:kern w:val="0"/>
          <w:sz w:val="24"/>
          <w:szCs w:val="24"/>
        </w:rPr>
      </w:pPr>
      <w:r w:rsidRPr="005C573E">
        <w:rPr>
          <w:rFonts w:ascii="Arial" w:hAnsi="Arial" w:cs="Arial"/>
          <w:kern w:val="0"/>
          <w:sz w:val="24"/>
          <w:szCs w:val="24"/>
        </w:rPr>
        <w:t>raport został sporządzony poprawnie pod względem stylistycznym, ortograficznym i interpunkcyjnym, zgodnie z regułami języka polskiego (</w:t>
      </w:r>
      <w:r w:rsidR="00F938D0">
        <w:rPr>
          <w:rFonts w:ascii="Arial" w:hAnsi="Arial" w:cs="Arial"/>
          <w:kern w:val="0"/>
          <w:sz w:val="24"/>
          <w:szCs w:val="24"/>
        </w:rPr>
        <w:t>konieczne</w:t>
      </w:r>
      <w:r w:rsidRPr="005C573E">
        <w:rPr>
          <w:rFonts w:ascii="Arial" w:hAnsi="Arial" w:cs="Arial"/>
          <w:kern w:val="0"/>
          <w:sz w:val="24"/>
          <w:szCs w:val="24"/>
        </w:rPr>
        <w:t xml:space="preserve"> jest poddanie raportu korekcie językowej, stylistycznej oraz edytorskiej, itp.),</w:t>
      </w:r>
    </w:p>
    <w:p w14:paraId="20182722" w14:textId="77777777" w:rsidR="00576A67" w:rsidRPr="005C573E" w:rsidRDefault="00576A67" w:rsidP="00576A67">
      <w:pPr>
        <w:pStyle w:val="Akapitzlist"/>
        <w:numPr>
          <w:ilvl w:val="0"/>
          <w:numId w:val="9"/>
        </w:numPr>
        <w:suppressAutoHyphens w:val="0"/>
        <w:spacing w:after="0" w:line="23" w:lineRule="atLeast"/>
        <w:jc w:val="both"/>
        <w:rPr>
          <w:rFonts w:ascii="Arial" w:hAnsi="Arial" w:cs="Arial"/>
          <w:kern w:val="0"/>
          <w:sz w:val="24"/>
          <w:szCs w:val="24"/>
        </w:rPr>
      </w:pPr>
      <w:r w:rsidRPr="005C573E">
        <w:rPr>
          <w:rFonts w:ascii="Arial" w:hAnsi="Arial" w:cs="Arial"/>
          <w:kern w:val="0"/>
          <w:sz w:val="24"/>
          <w:szCs w:val="24"/>
        </w:rPr>
        <w:t>raport jest uporządkowany pod względem wizualnym, tzn. formatowanie tekstu oraz rozwiązania graficzne zastosowane zostały w sposób jednolity oraz powodujący, że raport jest czytelny i przejrzysty,</w:t>
      </w:r>
    </w:p>
    <w:p w14:paraId="59A20B95" w14:textId="77777777" w:rsidR="00576A67" w:rsidRPr="005C573E" w:rsidRDefault="00576A67" w:rsidP="00576A67">
      <w:pPr>
        <w:pStyle w:val="Akapitzlist"/>
        <w:numPr>
          <w:ilvl w:val="0"/>
          <w:numId w:val="9"/>
        </w:numPr>
        <w:suppressAutoHyphens w:val="0"/>
        <w:spacing w:after="0" w:line="23" w:lineRule="atLeast"/>
        <w:jc w:val="both"/>
        <w:rPr>
          <w:rFonts w:ascii="Arial" w:hAnsi="Arial" w:cs="Arial"/>
          <w:kern w:val="0"/>
          <w:sz w:val="24"/>
          <w:szCs w:val="24"/>
        </w:rPr>
      </w:pPr>
      <w:r w:rsidRPr="005C573E">
        <w:rPr>
          <w:rFonts w:ascii="Arial" w:hAnsi="Arial" w:cs="Arial"/>
          <w:kern w:val="0"/>
          <w:sz w:val="24"/>
          <w:szCs w:val="24"/>
        </w:rPr>
        <w:t>raport zawiera spis tabel, wykresów, map, itp. form wizualizacji badanych zjawisk (każda forma wizualizacji posiada tytuł, numerację oraz źródło opracowania).</w:t>
      </w:r>
    </w:p>
    <w:p w14:paraId="38A330DD" w14:textId="77777777" w:rsidR="00576A67" w:rsidRPr="005C573E" w:rsidRDefault="00576A67" w:rsidP="00576A67">
      <w:pPr>
        <w:suppressAutoHyphens w:val="0"/>
        <w:spacing w:after="0" w:line="23" w:lineRule="atLeast"/>
        <w:jc w:val="both"/>
        <w:rPr>
          <w:rFonts w:ascii="Arial" w:hAnsi="Arial" w:cs="Arial"/>
          <w:kern w:val="0"/>
          <w:sz w:val="24"/>
          <w:szCs w:val="24"/>
        </w:rPr>
      </w:pPr>
      <w:r w:rsidRPr="005C573E">
        <w:rPr>
          <w:rFonts w:ascii="Arial" w:hAnsi="Arial" w:cs="Arial"/>
          <w:kern w:val="0"/>
          <w:sz w:val="24"/>
          <w:szCs w:val="24"/>
        </w:rPr>
        <w:t>Zamawiający dokona oceny końcowego raportu analitycznego zgodnie z powyższymi wymaganiami metodą „spełnia”, „nie spełnia”. Niespełnienie któregokolwiek z powyższych wymagań oznacza wadliwość raportu.</w:t>
      </w:r>
    </w:p>
    <w:p w14:paraId="6796710A" w14:textId="77777777" w:rsidR="00576A67" w:rsidRPr="005C573E" w:rsidRDefault="00576A67" w:rsidP="00576A67">
      <w:pPr>
        <w:suppressAutoHyphens w:val="0"/>
        <w:spacing w:before="100" w:after="0" w:line="23" w:lineRule="atLeast"/>
        <w:jc w:val="both"/>
        <w:rPr>
          <w:rFonts w:ascii="Arial" w:hAnsi="Arial" w:cs="Arial"/>
          <w:kern w:val="0"/>
          <w:sz w:val="24"/>
          <w:szCs w:val="24"/>
        </w:rPr>
      </w:pPr>
      <w:r w:rsidRPr="005C573E">
        <w:rPr>
          <w:rFonts w:ascii="Arial" w:hAnsi="Arial" w:cs="Arial"/>
          <w:kern w:val="0"/>
          <w:sz w:val="24"/>
          <w:szCs w:val="24"/>
        </w:rPr>
        <w:t xml:space="preserve">Ponadto Zamawiający, na podstawie przekazywanych mu produktów z badania (w tym dokumentów potwierdzających przeprowadzenie danej techniki badawczej), dokona oceny jakości i rzetelności przeprowadzonych czynności badawczych i w przypadku stwierdzenia ich niskiej jakości może stwierdzić wadliwe wykonanie badania. Przez niską jakość Zamawiający rozumie dostarczenie </w:t>
      </w:r>
      <w:r w:rsidRPr="005C573E">
        <w:rPr>
          <w:rFonts w:ascii="Arial" w:hAnsi="Arial" w:cs="Arial"/>
          <w:kern w:val="0"/>
          <w:sz w:val="24"/>
          <w:szCs w:val="24"/>
        </w:rPr>
        <w:lastRenderedPageBreak/>
        <w:t>Zamawiającemu któregokolwiek z produktów badania sporządzonego niezgodnie zapisami OPZ bądź nieuwzględniającego zgłoszonych uprzednio uwag Zamawiającego.</w:t>
      </w:r>
    </w:p>
    <w:p w14:paraId="117B75E9" w14:textId="77777777" w:rsidR="00576A67" w:rsidRPr="005C573E" w:rsidRDefault="00576A67" w:rsidP="00576A67">
      <w:pPr>
        <w:suppressAutoHyphens w:val="0"/>
        <w:spacing w:before="100" w:after="0" w:line="23" w:lineRule="atLeast"/>
        <w:jc w:val="both"/>
        <w:rPr>
          <w:rFonts w:ascii="Arial" w:hAnsi="Arial" w:cs="Arial"/>
          <w:kern w:val="0"/>
          <w:sz w:val="24"/>
          <w:szCs w:val="24"/>
        </w:rPr>
      </w:pPr>
      <w:r w:rsidRPr="005C573E">
        <w:rPr>
          <w:rFonts w:ascii="Arial" w:hAnsi="Arial" w:cs="Arial"/>
          <w:kern w:val="0"/>
          <w:sz w:val="24"/>
          <w:szCs w:val="24"/>
        </w:rPr>
        <w:t>Wszystkie raporty, będą przygotowane zgodnie z regułami języka polskiego. Będą poddane przez Wykonawcę korekcie językowej, stylistycznej oraz edytorskiej (gdy ilość błędów interpunkcyjnych, literowych itp. będzie wskazywała na brak takiej korekty, tekst będzie zwracany do poprawy, zanim zostanie oceniony merytorycznie).</w:t>
      </w:r>
    </w:p>
    <w:p w14:paraId="486726FD" w14:textId="77777777" w:rsidR="00576A67" w:rsidRPr="005C573E" w:rsidRDefault="00576A67" w:rsidP="00576A67">
      <w:pPr>
        <w:suppressAutoHyphens w:val="0"/>
        <w:spacing w:after="0" w:line="23" w:lineRule="atLeast"/>
        <w:jc w:val="both"/>
        <w:rPr>
          <w:rFonts w:ascii="Arial" w:hAnsi="Arial" w:cs="Arial"/>
          <w:kern w:val="0"/>
          <w:sz w:val="24"/>
          <w:szCs w:val="24"/>
        </w:rPr>
      </w:pPr>
    </w:p>
    <w:p w14:paraId="384F8C5B" w14:textId="77777777" w:rsidR="00576A67" w:rsidRPr="005C573E" w:rsidRDefault="00576A67" w:rsidP="00576A67">
      <w:pPr>
        <w:suppressAutoHyphens w:val="0"/>
        <w:spacing w:after="0" w:line="23" w:lineRule="atLeast"/>
        <w:jc w:val="both"/>
        <w:rPr>
          <w:rFonts w:ascii="Arial" w:hAnsi="Arial" w:cs="Arial"/>
          <w:kern w:val="0"/>
          <w:sz w:val="24"/>
          <w:szCs w:val="24"/>
        </w:rPr>
      </w:pPr>
      <w:r w:rsidRPr="005C573E">
        <w:rPr>
          <w:rFonts w:ascii="Arial" w:hAnsi="Arial" w:cs="Arial"/>
          <w:kern w:val="0"/>
          <w:sz w:val="24"/>
          <w:szCs w:val="24"/>
        </w:rPr>
        <w:t>Raporty będą zawierać wzory narzędzi badawczych wykorzystanych do badań.</w:t>
      </w:r>
    </w:p>
    <w:p w14:paraId="5EC84DBB" w14:textId="77777777" w:rsidR="00576A67" w:rsidRPr="005C573E" w:rsidRDefault="00576A67" w:rsidP="00576A67">
      <w:pPr>
        <w:suppressAutoHyphens w:val="0"/>
        <w:spacing w:before="100" w:after="0" w:line="276" w:lineRule="auto"/>
        <w:jc w:val="both"/>
        <w:rPr>
          <w:rFonts w:ascii="Arial" w:hAnsi="Arial" w:cs="Arial"/>
          <w:sz w:val="24"/>
          <w:szCs w:val="24"/>
        </w:rPr>
      </w:pPr>
      <w:r w:rsidRPr="005C573E">
        <w:rPr>
          <w:rFonts w:ascii="Arial" w:hAnsi="Arial" w:cs="Arial"/>
          <w:sz w:val="24"/>
          <w:szCs w:val="24"/>
        </w:rPr>
        <w:t>Materiały informacyjno-promocyjne będą oznakowane zgodnie z kolorystyką projektu. Przykłady znaków wykorzystywanych do oznakowania publikacji zostały przedstawione w linkach poniżej:</w:t>
      </w:r>
    </w:p>
    <w:p w14:paraId="455AF47F" w14:textId="77777777" w:rsidR="00576A67" w:rsidRPr="005C573E" w:rsidRDefault="00576A67" w:rsidP="00576A67">
      <w:pPr>
        <w:spacing w:after="0"/>
        <w:jc w:val="both"/>
        <w:rPr>
          <w:rFonts w:ascii="Arial" w:hAnsi="Arial" w:cs="Arial"/>
          <w:sz w:val="24"/>
          <w:szCs w:val="24"/>
        </w:rPr>
      </w:pPr>
      <w:r w:rsidRPr="005C573E">
        <w:rPr>
          <w:rFonts w:ascii="Arial" w:hAnsi="Arial" w:cs="Arial"/>
          <w:sz w:val="24"/>
          <w:szCs w:val="24"/>
        </w:rPr>
        <w:t>Logo projektu ZSU:</w:t>
      </w:r>
    </w:p>
    <w:p w14:paraId="4D6285C0" w14:textId="77777777" w:rsidR="00576A67" w:rsidRPr="005C573E" w:rsidRDefault="00000000" w:rsidP="00576A67">
      <w:pPr>
        <w:jc w:val="both"/>
      </w:pPr>
      <w:hyperlink r:id="rId11" w:history="1">
        <w:r w:rsidR="00576A67" w:rsidRPr="005C573E">
          <w:rPr>
            <w:rStyle w:val="Hipercze"/>
            <w:rFonts w:ascii="Arial" w:hAnsi="Arial" w:cs="Arial"/>
            <w:color w:val="auto"/>
            <w:sz w:val="24"/>
            <w:szCs w:val="24"/>
          </w:rPr>
          <w:t>https://wuplublin.praca.gov.pl/system-identyfikacji-wizualnej</w:t>
        </w:r>
      </w:hyperlink>
      <w:r w:rsidR="00576A67" w:rsidRPr="005C573E">
        <w:rPr>
          <w:rFonts w:ascii="Arial" w:hAnsi="Arial" w:cs="Arial"/>
          <w:sz w:val="24"/>
          <w:szCs w:val="24"/>
        </w:rPr>
        <w:t xml:space="preserve"> </w:t>
      </w:r>
    </w:p>
    <w:p w14:paraId="57B1F9E1" w14:textId="77777777" w:rsidR="00576A67" w:rsidRPr="005C573E" w:rsidRDefault="00576A67" w:rsidP="00576A67">
      <w:pPr>
        <w:spacing w:after="0" w:line="276" w:lineRule="auto"/>
        <w:jc w:val="both"/>
        <w:rPr>
          <w:rFonts w:ascii="Arial" w:hAnsi="Arial" w:cs="Arial"/>
          <w:sz w:val="24"/>
          <w:szCs w:val="24"/>
        </w:rPr>
      </w:pPr>
      <w:r w:rsidRPr="005C573E">
        <w:rPr>
          <w:rFonts w:ascii="Arial" w:hAnsi="Arial" w:cs="Arial"/>
          <w:sz w:val="24"/>
          <w:szCs w:val="24"/>
        </w:rPr>
        <w:t>Oznakowanie unijne:</w:t>
      </w:r>
    </w:p>
    <w:p w14:paraId="61CC127D" w14:textId="77777777" w:rsidR="00576A67" w:rsidRPr="005C573E" w:rsidRDefault="00000000" w:rsidP="00576A67">
      <w:pPr>
        <w:spacing w:after="0" w:line="256" w:lineRule="auto"/>
      </w:pPr>
      <w:hyperlink r:id="rId12" w:history="1">
        <w:r w:rsidR="00576A67" w:rsidRPr="005C573E">
          <w:rPr>
            <w:rStyle w:val="Hipercze"/>
            <w:rFonts w:ascii="Arial" w:hAnsi="Arial" w:cs="Arial"/>
            <w:color w:val="auto"/>
            <w:sz w:val="24"/>
            <w:szCs w:val="24"/>
          </w:rPr>
          <w:t>https://www.kpo.gov.pl/strony/o-kpo/d</w:t>
        </w:r>
        <w:bookmarkStart w:id="0" w:name="_Hlt173308608"/>
        <w:bookmarkStart w:id="1" w:name="_Hlt173308609"/>
        <w:r w:rsidR="00576A67" w:rsidRPr="005C573E">
          <w:rPr>
            <w:rStyle w:val="Hipercze"/>
            <w:rFonts w:ascii="Arial" w:hAnsi="Arial" w:cs="Arial"/>
            <w:color w:val="auto"/>
            <w:sz w:val="24"/>
            <w:szCs w:val="24"/>
          </w:rPr>
          <w:t>l</w:t>
        </w:r>
        <w:bookmarkEnd w:id="0"/>
        <w:bookmarkEnd w:id="1"/>
        <w:r w:rsidR="00576A67" w:rsidRPr="005C573E">
          <w:rPr>
            <w:rStyle w:val="Hipercze"/>
            <w:rFonts w:ascii="Arial" w:hAnsi="Arial" w:cs="Arial"/>
            <w:color w:val="auto"/>
            <w:sz w:val="24"/>
            <w:szCs w:val="24"/>
          </w:rPr>
          <w:t>a-instytucji/dokumenty/strategia-promocji-i-informacji-kpo/</w:t>
        </w:r>
      </w:hyperlink>
    </w:p>
    <w:p w14:paraId="6CEE38DF" w14:textId="77777777" w:rsidR="00576A67" w:rsidRPr="005C573E" w:rsidRDefault="00576A67" w:rsidP="00576A67">
      <w:pPr>
        <w:suppressAutoHyphens w:val="0"/>
        <w:spacing w:after="0" w:line="23" w:lineRule="atLeast"/>
        <w:jc w:val="both"/>
        <w:rPr>
          <w:rFonts w:ascii="Arial" w:hAnsi="Arial" w:cs="Arial"/>
          <w:kern w:val="0"/>
          <w:sz w:val="28"/>
          <w:szCs w:val="28"/>
        </w:rPr>
      </w:pPr>
    </w:p>
    <w:p w14:paraId="0A08BFB2" w14:textId="77777777" w:rsidR="00576A67" w:rsidRPr="005C573E" w:rsidRDefault="00576A67" w:rsidP="00576A67">
      <w:pPr>
        <w:pStyle w:val="Akapitzlist"/>
        <w:numPr>
          <w:ilvl w:val="0"/>
          <w:numId w:val="1"/>
        </w:numPr>
        <w:suppressAutoHyphens w:val="0"/>
        <w:spacing w:after="0" w:line="23" w:lineRule="atLeast"/>
        <w:jc w:val="both"/>
        <w:rPr>
          <w:rFonts w:ascii="Arial" w:hAnsi="Arial" w:cs="Arial"/>
          <w:b/>
          <w:bCs/>
          <w:kern w:val="0"/>
          <w:sz w:val="24"/>
          <w:szCs w:val="24"/>
          <w:lang w:eastAsia="pl-PL"/>
        </w:rPr>
      </w:pPr>
      <w:r w:rsidRPr="005C573E">
        <w:rPr>
          <w:rFonts w:ascii="Arial" w:hAnsi="Arial" w:cs="Arial"/>
          <w:b/>
          <w:bCs/>
          <w:kern w:val="0"/>
          <w:sz w:val="24"/>
          <w:szCs w:val="24"/>
          <w:lang w:eastAsia="pl-PL"/>
        </w:rPr>
        <w:t>Inne wymogi:</w:t>
      </w:r>
    </w:p>
    <w:p w14:paraId="305A8155" w14:textId="148F13DE" w:rsidR="00576A67" w:rsidRPr="004C3DCE" w:rsidRDefault="00576A67" w:rsidP="00576A67">
      <w:pPr>
        <w:tabs>
          <w:tab w:val="left" w:pos="851"/>
        </w:tabs>
        <w:suppressAutoHyphens w:val="0"/>
        <w:spacing w:before="360" w:after="0" w:line="23" w:lineRule="atLeast"/>
        <w:jc w:val="both"/>
      </w:pPr>
      <w:r w:rsidRPr="005C573E">
        <w:rPr>
          <w:rFonts w:ascii="Arial" w:eastAsia="Times New Roman" w:hAnsi="Arial" w:cs="Arial"/>
          <w:sz w:val="24"/>
          <w:szCs w:val="28"/>
          <w:lang w:eastAsia="pl-PL"/>
        </w:rPr>
        <w:t xml:space="preserve">Wykonawca </w:t>
      </w:r>
      <w:r w:rsidR="000E3EFA">
        <w:rPr>
          <w:rFonts w:ascii="Arial" w:eastAsia="Times New Roman" w:hAnsi="Arial" w:cs="Arial"/>
          <w:sz w:val="24"/>
          <w:szCs w:val="28"/>
          <w:lang w:eastAsia="pl-PL"/>
        </w:rPr>
        <w:t>będzie realizował zamówienie</w:t>
      </w:r>
      <w:r w:rsidRPr="005C573E">
        <w:rPr>
          <w:rFonts w:ascii="Arial" w:eastAsia="Times New Roman" w:hAnsi="Arial" w:cs="Arial"/>
          <w:sz w:val="24"/>
          <w:szCs w:val="28"/>
          <w:lang w:eastAsia="pl-PL"/>
        </w:rPr>
        <w:t xml:space="preserve"> zespołem badawczo-analitycznym w skład którego wchodzić mus</w:t>
      </w:r>
      <w:r w:rsidR="002802CE">
        <w:rPr>
          <w:rFonts w:ascii="Arial" w:eastAsia="Times New Roman" w:hAnsi="Arial" w:cs="Arial"/>
          <w:sz w:val="24"/>
          <w:szCs w:val="28"/>
          <w:lang w:eastAsia="pl-PL"/>
        </w:rPr>
        <w:t>zą</w:t>
      </w:r>
      <w:r w:rsidRPr="005C573E">
        <w:rPr>
          <w:rFonts w:ascii="Arial" w:eastAsia="Times New Roman" w:hAnsi="Arial" w:cs="Arial"/>
          <w:sz w:val="24"/>
          <w:szCs w:val="28"/>
          <w:lang w:eastAsia="pl-PL"/>
        </w:rPr>
        <w:t xml:space="preserve"> co najmniej </w:t>
      </w:r>
      <w:r w:rsidR="00481083">
        <w:rPr>
          <w:rFonts w:ascii="Arial" w:eastAsia="Times New Roman" w:hAnsi="Arial" w:cs="Arial"/>
          <w:sz w:val="24"/>
          <w:szCs w:val="28"/>
          <w:lang w:eastAsia="pl-PL"/>
        </w:rPr>
        <w:t>3</w:t>
      </w:r>
      <w:r w:rsidRPr="005C573E">
        <w:rPr>
          <w:rFonts w:ascii="Arial" w:eastAsia="Times New Roman" w:hAnsi="Arial" w:cs="Arial"/>
          <w:sz w:val="24"/>
          <w:szCs w:val="28"/>
          <w:lang w:eastAsia="pl-PL"/>
        </w:rPr>
        <w:t xml:space="preserve"> osoby, w tym koordynator zamówienia (badań i analiz), autor raportu śródokresowego oraz końcowego raportu analitycznego, redaktor treści (pod względem poprawności językowej)</w:t>
      </w:r>
      <w:r w:rsidRPr="00C74517">
        <w:rPr>
          <w:rFonts w:ascii="Arial" w:eastAsia="Times New Roman" w:hAnsi="Arial" w:cs="Arial"/>
          <w:color w:val="FF0000"/>
          <w:sz w:val="24"/>
          <w:szCs w:val="28"/>
          <w:lang w:eastAsia="pl-PL"/>
        </w:rPr>
        <w:t xml:space="preserve">. </w:t>
      </w:r>
      <w:r w:rsidR="00491FEC" w:rsidRPr="007703DC">
        <w:rPr>
          <w:rFonts w:ascii="Arial" w:hAnsi="Arial" w:cs="Arial"/>
          <w:sz w:val="24"/>
          <w:szCs w:val="32"/>
        </w:rPr>
        <w:t>W ramach zespołu badawczo-analitycznego jedna osoba może pełnić tylko 1 funkcję.</w:t>
      </w:r>
      <w:r w:rsidR="00491FEC">
        <w:rPr>
          <w:rFonts w:ascii="Arial" w:hAnsi="Arial" w:cs="Arial"/>
          <w:sz w:val="24"/>
          <w:szCs w:val="32"/>
        </w:rPr>
        <w:t xml:space="preserve"> </w:t>
      </w:r>
      <w:r w:rsidRPr="004C3DCE">
        <w:rPr>
          <w:rFonts w:ascii="Arial" w:eastAsia="Times New Roman" w:hAnsi="Arial" w:cs="Arial"/>
          <w:sz w:val="24"/>
          <w:szCs w:val="28"/>
          <w:lang w:eastAsia="pl-PL"/>
        </w:rPr>
        <w:t>Prace zespołu wspierać będą minimum 2 osoby odpowiedzialne za rekrutację respondentów</w:t>
      </w:r>
      <w:r w:rsidR="00BA5E4C" w:rsidRPr="004C3DCE">
        <w:rPr>
          <w:rFonts w:ascii="Arial" w:eastAsia="Times New Roman" w:hAnsi="Arial" w:cs="Arial"/>
          <w:sz w:val="24"/>
          <w:szCs w:val="28"/>
          <w:lang w:eastAsia="pl-PL"/>
        </w:rPr>
        <w:t xml:space="preserve"> oraz </w:t>
      </w:r>
      <w:r w:rsidR="009D419F" w:rsidRPr="004C3DCE">
        <w:rPr>
          <w:rFonts w:ascii="Arial" w:eastAsia="Times New Roman" w:hAnsi="Arial" w:cs="Arial"/>
          <w:kern w:val="0"/>
          <w:sz w:val="24"/>
          <w:szCs w:val="24"/>
          <w:lang w:eastAsia="pl-PL"/>
        </w:rPr>
        <w:t>minimum 5 osób moderujących wywiady IDI</w:t>
      </w:r>
      <w:r w:rsidR="00982B5A" w:rsidRPr="004C3DCE">
        <w:rPr>
          <w:rFonts w:ascii="Arial" w:eastAsia="Times New Roman" w:hAnsi="Arial" w:cs="Arial"/>
          <w:kern w:val="0"/>
          <w:sz w:val="24"/>
          <w:szCs w:val="24"/>
          <w:lang w:eastAsia="pl-PL"/>
        </w:rPr>
        <w:t xml:space="preserve">. </w:t>
      </w:r>
    </w:p>
    <w:p w14:paraId="37270054" w14:textId="77777777" w:rsidR="00576A67" w:rsidRPr="005C573E" w:rsidRDefault="00576A67" w:rsidP="00576A67">
      <w:pPr>
        <w:suppressAutoHyphens w:val="0"/>
        <w:spacing w:after="0" w:line="23" w:lineRule="atLeast"/>
        <w:rPr>
          <w:rFonts w:ascii="Arial" w:hAnsi="Arial" w:cs="Arial"/>
          <w:kern w:val="0"/>
          <w:sz w:val="24"/>
          <w:szCs w:val="24"/>
        </w:rPr>
      </w:pPr>
    </w:p>
    <w:p w14:paraId="2F8892C7" w14:textId="77777777" w:rsidR="00576A67" w:rsidRPr="005C573E" w:rsidRDefault="00576A67" w:rsidP="00576A67">
      <w:pPr>
        <w:suppressAutoHyphens w:val="0"/>
        <w:spacing w:after="0" w:line="23" w:lineRule="atLeast"/>
        <w:rPr>
          <w:rFonts w:ascii="Arial" w:hAnsi="Arial" w:cs="Arial"/>
          <w:kern w:val="0"/>
          <w:sz w:val="24"/>
          <w:szCs w:val="24"/>
        </w:rPr>
      </w:pPr>
    </w:p>
    <w:p w14:paraId="2573B370" w14:textId="77777777" w:rsidR="00576A67" w:rsidRPr="005C573E" w:rsidRDefault="00576A67" w:rsidP="00576A67">
      <w:pPr>
        <w:suppressAutoHyphens w:val="0"/>
        <w:spacing w:after="0" w:line="23" w:lineRule="atLeast"/>
        <w:rPr>
          <w:rFonts w:ascii="Arial" w:hAnsi="Arial" w:cs="Arial"/>
          <w:kern w:val="0"/>
          <w:sz w:val="24"/>
          <w:szCs w:val="24"/>
        </w:rPr>
      </w:pPr>
      <w:r w:rsidRPr="005C573E">
        <w:rPr>
          <w:rFonts w:ascii="Arial" w:hAnsi="Arial" w:cs="Arial"/>
          <w:kern w:val="0"/>
          <w:sz w:val="24"/>
          <w:szCs w:val="24"/>
        </w:rPr>
        <w:t>Zmiana osoby/osób w trakcie realizacji umowy może zostać dokonana na podstawie pisemnego wyjaśnienia Wykonawcy i zapewnienia osoby/osób spełniającej wymagania Zamawiającego.</w:t>
      </w:r>
    </w:p>
    <w:p w14:paraId="64D21CD7" w14:textId="77777777" w:rsidR="00576A67" w:rsidRPr="005C573E" w:rsidRDefault="00576A67" w:rsidP="00576A67">
      <w:pPr>
        <w:spacing w:after="240" w:line="23" w:lineRule="atLeast"/>
      </w:pPr>
      <w:r w:rsidRPr="005C573E">
        <w:rPr>
          <w:rFonts w:ascii="Arial" w:hAnsi="Arial" w:cs="Arial"/>
          <w:sz w:val="24"/>
          <w:szCs w:val="24"/>
        </w:rPr>
        <w:br/>
        <w:t xml:space="preserve">Wszystkie produkty zlecenia (raporty, narzędzia badawcze) w wersji dostępnej muszą być zgodne z „Wytycznymi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Wytyczne dotyczące realizacji zasad równościowych w ramach funduszy unijnych na lata 2021-2027 dostępne są pod adresem: </w:t>
      </w:r>
      <w:hyperlink r:id="rId13" w:history="1">
        <w:r w:rsidRPr="005C573E">
          <w:rPr>
            <w:rFonts w:ascii="Arial" w:hAnsi="Arial" w:cs="Arial"/>
            <w:sz w:val="24"/>
            <w:szCs w:val="24"/>
            <w:u w:val="single"/>
          </w:rPr>
          <w:t>https://www.funduszeeuropejskie.gov.pl/strony/o-funduszach/dokumenty/wytyczne-dotyczace-realizacji-zasad-rownosciowych-w-ramach-funduszy-unijnych-na-lata-2021-2027-1/</w:t>
        </w:r>
      </w:hyperlink>
    </w:p>
    <w:p w14:paraId="6BA95DB6" w14:textId="77777777" w:rsidR="00576A67" w:rsidRPr="005C573E" w:rsidRDefault="00576A67" w:rsidP="00576A67">
      <w:pPr>
        <w:spacing w:line="23" w:lineRule="atLeast"/>
        <w:jc w:val="both"/>
        <w:rPr>
          <w:rFonts w:ascii="Arial" w:hAnsi="Arial" w:cs="Arial"/>
          <w:sz w:val="24"/>
          <w:szCs w:val="24"/>
        </w:rPr>
      </w:pPr>
      <w:r w:rsidRPr="005C573E">
        <w:rPr>
          <w:rFonts w:ascii="Arial" w:hAnsi="Arial" w:cs="Arial"/>
          <w:sz w:val="24"/>
          <w:szCs w:val="24"/>
        </w:rPr>
        <w:t>Wykonawca jest zobowiązany do prowadzenia działań zgodnie z Kartą Praw Podstawowych Unii Europejskiej z dnia 26 października 2012 r. w zakresie odnoszącym się do sposobu realizacji usługi i jej zakresu oraz zgodnie z Konwencją o Prawach Osób Niepełnosprawnych.</w:t>
      </w:r>
    </w:p>
    <w:p w14:paraId="669F3BAC" w14:textId="77777777" w:rsidR="00576A67" w:rsidRPr="005C573E" w:rsidRDefault="00576A67" w:rsidP="00576A67">
      <w:pPr>
        <w:spacing w:line="23" w:lineRule="atLeast"/>
        <w:ind w:right="-24"/>
        <w:jc w:val="both"/>
        <w:rPr>
          <w:rFonts w:ascii="Arial" w:eastAsia="Times New Roman" w:hAnsi="Arial" w:cs="Arial"/>
          <w:sz w:val="24"/>
          <w:szCs w:val="28"/>
          <w:lang w:eastAsia="pl-PL"/>
        </w:rPr>
      </w:pPr>
      <w:r w:rsidRPr="005C573E">
        <w:rPr>
          <w:rFonts w:ascii="Arial" w:eastAsia="Times New Roman" w:hAnsi="Arial" w:cs="Arial"/>
          <w:sz w:val="24"/>
          <w:szCs w:val="28"/>
          <w:lang w:eastAsia="pl-PL"/>
        </w:rPr>
        <w:t>Zamawiający stosując nomenklaturę w dokumentach zamówienia, dotyczącą osób zaangażowanych w jego realizację, w tym funkcji wskazanych w zespole badawczo-analitycznym, w żaden sposób nie różnicuje ze względu na płeć. Wykonawca do realizacji zamówienia może zaangażować osoby o dowolnej tożsamości płciowej.</w:t>
      </w:r>
    </w:p>
    <w:p w14:paraId="05C1170B" w14:textId="77777777" w:rsidR="00576A67" w:rsidRPr="00156533" w:rsidRDefault="00576A67" w:rsidP="00576A67">
      <w:pPr>
        <w:pStyle w:val="Akapitzlist"/>
        <w:numPr>
          <w:ilvl w:val="0"/>
          <w:numId w:val="1"/>
        </w:numPr>
        <w:spacing w:line="23" w:lineRule="atLeast"/>
        <w:ind w:right="-24"/>
        <w:jc w:val="both"/>
        <w:rPr>
          <w:rFonts w:ascii="Arial" w:eastAsia="Times New Roman" w:hAnsi="Arial" w:cs="Arial"/>
          <w:b/>
          <w:bCs/>
          <w:sz w:val="24"/>
          <w:szCs w:val="28"/>
          <w:lang w:eastAsia="pl-PL"/>
        </w:rPr>
      </w:pPr>
      <w:r w:rsidRPr="00156533">
        <w:rPr>
          <w:rFonts w:ascii="Arial" w:eastAsia="Times New Roman" w:hAnsi="Arial" w:cs="Arial"/>
          <w:b/>
          <w:bCs/>
          <w:sz w:val="24"/>
          <w:szCs w:val="28"/>
          <w:lang w:eastAsia="pl-PL"/>
        </w:rPr>
        <w:t>Harmonogram wykonania zamówienia:</w:t>
      </w:r>
    </w:p>
    <w:p w14:paraId="5B9DC781" w14:textId="0B3E9963" w:rsidR="00576A67" w:rsidRPr="005C573E" w:rsidRDefault="00576A67" w:rsidP="00576A67">
      <w:pPr>
        <w:spacing w:line="23" w:lineRule="atLeast"/>
        <w:ind w:right="-24"/>
        <w:jc w:val="both"/>
        <w:rPr>
          <w:rFonts w:ascii="Arial" w:eastAsia="Times New Roman" w:hAnsi="Arial" w:cs="Arial"/>
          <w:sz w:val="24"/>
          <w:szCs w:val="28"/>
          <w:lang w:eastAsia="pl-PL"/>
        </w:rPr>
      </w:pPr>
      <w:r w:rsidRPr="005C573E">
        <w:rPr>
          <w:rFonts w:ascii="Arial" w:eastAsia="Times New Roman" w:hAnsi="Arial" w:cs="Arial"/>
          <w:sz w:val="24"/>
          <w:szCs w:val="28"/>
          <w:lang w:eastAsia="pl-PL"/>
        </w:rPr>
        <w:t xml:space="preserve">Przedmiot zamówienia (wraz z odbiorem, potwierdzony protokołem odbioru) zostanie zrealizowany w ciągu 170 dni kalendarzowych od daty </w:t>
      </w:r>
      <w:r w:rsidR="009769F0">
        <w:rPr>
          <w:rFonts w:ascii="Arial" w:eastAsia="Times New Roman" w:hAnsi="Arial" w:cs="Arial"/>
          <w:sz w:val="24"/>
          <w:szCs w:val="28"/>
          <w:lang w:eastAsia="pl-PL"/>
        </w:rPr>
        <w:t xml:space="preserve">zawarcia </w:t>
      </w:r>
      <w:r w:rsidRPr="005C573E">
        <w:rPr>
          <w:rFonts w:ascii="Arial" w:eastAsia="Times New Roman" w:hAnsi="Arial" w:cs="Arial"/>
          <w:sz w:val="24"/>
          <w:szCs w:val="28"/>
          <w:lang w:eastAsia="pl-PL"/>
        </w:rPr>
        <w:t>umowy. Wykonawca przekaże raport śródokresowy (pierwsza wersja) z</w:t>
      </w:r>
      <w:r w:rsidRPr="00F76872">
        <w:rPr>
          <w:rFonts w:ascii="Arial" w:eastAsia="Times New Roman" w:hAnsi="Arial" w:cs="Arial"/>
          <w:color w:val="00B050"/>
          <w:sz w:val="24"/>
          <w:szCs w:val="28"/>
          <w:lang w:eastAsia="pl-PL"/>
        </w:rPr>
        <w:t xml:space="preserve"> </w:t>
      </w:r>
      <w:r w:rsidR="00F76872" w:rsidRPr="00A85F6C">
        <w:rPr>
          <w:rFonts w:ascii="Arial" w:eastAsia="Times New Roman" w:hAnsi="Arial" w:cs="Arial"/>
          <w:sz w:val="24"/>
          <w:szCs w:val="28"/>
          <w:lang w:eastAsia="pl-PL"/>
        </w:rPr>
        <w:t>3</w:t>
      </w:r>
      <w:r w:rsidRPr="00A85F6C">
        <w:rPr>
          <w:rFonts w:ascii="Arial" w:eastAsia="Times New Roman" w:hAnsi="Arial" w:cs="Arial"/>
          <w:sz w:val="24"/>
          <w:szCs w:val="28"/>
          <w:lang w:eastAsia="pl-PL"/>
        </w:rPr>
        <w:t xml:space="preserve"> </w:t>
      </w:r>
      <w:r w:rsidR="00732D82" w:rsidRPr="00A85F6C">
        <w:rPr>
          <w:rFonts w:ascii="Arial" w:eastAsia="Times New Roman" w:hAnsi="Arial" w:cs="Arial"/>
          <w:sz w:val="24"/>
          <w:szCs w:val="28"/>
          <w:lang w:eastAsia="pl-PL"/>
        </w:rPr>
        <w:t>e</w:t>
      </w:r>
      <w:r w:rsidR="00416DBB" w:rsidRPr="00A85F6C">
        <w:rPr>
          <w:rFonts w:ascii="Arial" w:eastAsia="Times New Roman" w:hAnsi="Arial" w:cs="Arial"/>
          <w:sz w:val="24"/>
          <w:szCs w:val="28"/>
          <w:lang w:eastAsia="pl-PL"/>
        </w:rPr>
        <w:t>tapu</w:t>
      </w:r>
      <w:r w:rsidRPr="00A85F6C">
        <w:rPr>
          <w:rFonts w:ascii="Arial" w:eastAsia="Times New Roman" w:hAnsi="Arial" w:cs="Arial"/>
          <w:sz w:val="24"/>
          <w:szCs w:val="28"/>
          <w:lang w:eastAsia="pl-PL"/>
        </w:rPr>
        <w:t xml:space="preserve"> badania </w:t>
      </w:r>
      <w:r w:rsidRPr="005C573E">
        <w:rPr>
          <w:rFonts w:ascii="Arial" w:eastAsia="Times New Roman" w:hAnsi="Arial" w:cs="Arial"/>
          <w:sz w:val="24"/>
          <w:szCs w:val="28"/>
          <w:lang w:eastAsia="pl-PL"/>
        </w:rPr>
        <w:t xml:space="preserve">nie później niż w ciągu 100 dni kalendarzowych </w:t>
      </w:r>
      <w:r w:rsidRPr="005C573E">
        <w:rPr>
          <w:rFonts w:ascii="Arial" w:eastAsia="Times New Roman" w:hAnsi="Arial" w:cs="Arial"/>
          <w:sz w:val="24"/>
          <w:szCs w:val="28"/>
          <w:lang w:eastAsia="pl-PL"/>
        </w:rPr>
        <w:lastRenderedPageBreak/>
        <w:t>od daty umowy. W ciągu 145 dni kalendarzowych od daty umowy Wykonawca przekaże końcowy raport analityczny (pierwsza wersja).</w:t>
      </w:r>
    </w:p>
    <w:p w14:paraId="4EFB76C8" w14:textId="77777777" w:rsidR="00576A67" w:rsidRPr="005C573E" w:rsidRDefault="00576A67" w:rsidP="00576A67">
      <w:pPr>
        <w:spacing w:line="23" w:lineRule="atLeast"/>
        <w:ind w:right="-24"/>
        <w:jc w:val="both"/>
        <w:rPr>
          <w:rFonts w:ascii="Arial" w:eastAsia="Times New Roman" w:hAnsi="Arial" w:cs="Arial"/>
          <w:sz w:val="24"/>
          <w:szCs w:val="28"/>
          <w:lang w:eastAsia="pl-PL"/>
        </w:rPr>
      </w:pPr>
      <w:r w:rsidRPr="005C573E">
        <w:rPr>
          <w:rFonts w:ascii="Arial" w:eastAsia="Times New Roman" w:hAnsi="Arial" w:cs="Arial"/>
          <w:sz w:val="24"/>
          <w:szCs w:val="28"/>
          <w:lang w:eastAsia="pl-PL"/>
        </w:rPr>
        <w:t>Realizacja poszczególnych elementów przedmiotu zamówienia zostanie określona w harmonogramie prac przedstawionym przez Wykonawcę w raporcie metodycznym.</w:t>
      </w:r>
    </w:p>
    <w:p w14:paraId="2008A51C" w14:textId="77777777" w:rsidR="00576A67" w:rsidRPr="005C573E" w:rsidRDefault="00576A67" w:rsidP="00576A67">
      <w:pPr>
        <w:pStyle w:val="Akapitzlist"/>
        <w:numPr>
          <w:ilvl w:val="0"/>
          <w:numId w:val="1"/>
        </w:numPr>
        <w:spacing w:line="23" w:lineRule="atLeast"/>
        <w:ind w:right="-24"/>
        <w:jc w:val="both"/>
      </w:pPr>
      <w:r w:rsidRPr="005C573E">
        <w:rPr>
          <w:rFonts w:ascii="Arial" w:hAnsi="Arial" w:cs="Arial"/>
          <w:b/>
          <w:sz w:val="24"/>
          <w:szCs w:val="28"/>
        </w:rPr>
        <w:t xml:space="preserve">Nazwy i kody Wspólnego Słownika Zamówień (Klasyfikacji CPV): </w:t>
      </w:r>
      <w:r w:rsidRPr="005C573E">
        <w:rPr>
          <w:rFonts w:ascii="Arial" w:hAnsi="Arial" w:cs="Arial"/>
          <w:bCs/>
          <w:sz w:val="24"/>
          <w:szCs w:val="28"/>
        </w:rPr>
        <w:t>79315000-5 –Usługi badań społecznych</w:t>
      </w:r>
    </w:p>
    <w:p w14:paraId="06B2DD78" w14:textId="77777777" w:rsidR="00576A67" w:rsidRPr="005C573E" w:rsidRDefault="00576A67" w:rsidP="00576A67">
      <w:pPr>
        <w:pStyle w:val="Akapitzlist"/>
        <w:spacing w:before="100" w:after="100" w:line="23" w:lineRule="atLeast"/>
        <w:ind w:left="1080"/>
        <w:jc w:val="both"/>
      </w:pPr>
    </w:p>
    <w:p w14:paraId="76095315" w14:textId="77777777" w:rsidR="00576A67" w:rsidRPr="005C573E" w:rsidRDefault="00576A67" w:rsidP="00576A67">
      <w:pPr>
        <w:spacing w:after="0" w:line="23" w:lineRule="atLeast"/>
        <w:rPr>
          <w:rFonts w:ascii="Arial" w:hAnsi="Arial" w:cs="Arial"/>
          <w:sz w:val="24"/>
          <w:szCs w:val="24"/>
        </w:rPr>
      </w:pPr>
    </w:p>
    <w:p w14:paraId="2033C82F" w14:textId="77777777" w:rsidR="00576A67" w:rsidRPr="005C573E" w:rsidRDefault="00576A67" w:rsidP="00576A67">
      <w:pPr>
        <w:spacing w:after="0" w:line="23" w:lineRule="atLeast"/>
        <w:rPr>
          <w:rFonts w:ascii="Arial" w:hAnsi="Arial" w:cs="Arial"/>
          <w:sz w:val="24"/>
          <w:szCs w:val="24"/>
        </w:rPr>
      </w:pPr>
      <w:bookmarkStart w:id="2" w:name="_Hlk159412015"/>
    </w:p>
    <w:bookmarkEnd w:id="2"/>
    <w:p w14:paraId="6F2548E3" w14:textId="77777777" w:rsidR="00576A67" w:rsidRPr="005C573E" w:rsidRDefault="00576A67" w:rsidP="00576A67">
      <w:pPr>
        <w:suppressAutoHyphens w:val="0"/>
        <w:spacing w:after="0" w:line="23" w:lineRule="atLeast"/>
        <w:jc w:val="both"/>
        <w:rPr>
          <w:rFonts w:ascii="Arial" w:hAnsi="Arial" w:cs="Arial"/>
          <w:kern w:val="0"/>
          <w:sz w:val="18"/>
          <w:szCs w:val="18"/>
          <w:lang w:eastAsia="pl-PL"/>
        </w:rPr>
      </w:pPr>
    </w:p>
    <w:p w14:paraId="046A1D89" w14:textId="77777777" w:rsidR="00576A67" w:rsidRPr="005C573E" w:rsidRDefault="00576A67" w:rsidP="00576A67">
      <w:pPr>
        <w:pageBreakBefore/>
        <w:suppressAutoHyphens w:val="0"/>
        <w:spacing w:line="23" w:lineRule="atLeast"/>
      </w:pPr>
    </w:p>
    <w:p w14:paraId="75FBC7FD" w14:textId="77777777" w:rsidR="00576A67" w:rsidRPr="005C573E" w:rsidRDefault="00576A67" w:rsidP="00576A67">
      <w:pPr>
        <w:spacing w:after="0" w:line="23" w:lineRule="atLeast"/>
        <w:rPr>
          <w:rFonts w:ascii="Arial" w:hAnsi="Arial" w:cs="Arial"/>
          <w:b/>
          <w:bCs/>
          <w:sz w:val="24"/>
          <w:szCs w:val="24"/>
        </w:rPr>
      </w:pPr>
      <w:r w:rsidRPr="005C573E">
        <w:rPr>
          <w:rFonts w:ascii="Arial" w:hAnsi="Arial" w:cs="Arial"/>
          <w:b/>
          <w:bCs/>
          <w:sz w:val="24"/>
          <w:szCs w:val="24"/>
        </w:rPr>
        <w:t>Załącznik nr 1 Inteligentne specjalizacje województwa lubelskiego – lista zagadnień szczegółowych</w:t>
      </w:r>
    </w:p>
    <w:p w14:paraId="57343017" w14:textId="77777777" w:rsidR="00576A67" w:rsidRPr="005C573E" w:rsidRDefault="00576A67" w:rsidP="00576A67">
      <w:pPr>
        <w:spacing w:after="0" w:line="23" w:lineRule="atLeast"/>
        <w:rPr>
          <w:rFonts w:ascii="Arial" w:hAnsi="Arial" w:cs="Arial"/>
          <w:b/>
          <w:bCs/>
          <w:sz w:val="24"/>
          <w:szCs w:val="24"/>
        </w:rPr>
      </w:pPr>
    </w:p>
    <w:p w14:paraId="0825D3E0" w14:textId="77777777" w:rsidR="00576A67" w:rsidRPr="005C573E" w:rsidRDefault="00576A67" w:rsidP="00576A67">
      <w:pPr>
        <w:spacing w:after="0" w:line="23" w:lineRule="atLeast"/>
      </w:pPr>
      <w:r w:rsidRPr="005C573E">
        <w:rPr>
          <w:rFonts w:ascii="Arial" w:hAnsi="Arial" w:cs="Arial"/>
          <w:sz w:val="24"/>
          <w:szCs w:val="24"/>
        </w:rPr>
        <w:t xml:space="preserve">I. </w:t>
      </w:r>
      <w:r w:rsidRPr="005C573E">
        <w:rPr>
          <w:rFonts w:ascii="Arial" w:hAnsi="Arial" w:cs="Arial"/>
          <w:b/>
          <w:bCs/>
          <w:sz w:val="24"/>
          <w:szCs w:val="24"/>
        </w:rPr>
        <w:t>Żywność wysokiej jakości</w:t>
      </w:r>
    </w:p>
    <w:p w14:paraId="2E3DF2F8"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1. Innowacyjne działania na rzecz poprawy żyzności i produktywności gleb</w:t>
      </w:r>
    </w:p>
    <w:p w14:paraId="199EEF95"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 xml:space="preserve">2. Wysokiej jakości materiał siewny, </w:t>
      </w:r>
      <w:proofErr w:type="spellStart"/>
      <w:r w:rsidRPr="005C573E">
        <w:rPr>
          <w:rFonts w:ascii="Arial" w:hAnsi="Arial" w:cs="Arial"/>
          <w:sz w:val="24"/>
          <w:szCs w:val="24"/>
        </w:rPr>
        <w:t>rozmnożeniowy</w:t>
      </w:r>
      <w:proofErr w:type="spellEnd"/>
      <w:r w:rsidRPr="005C573E">
        <w:rPr>
          <w:rFonts w:ascii="Arial" w:hAnsi="Arial" w:cs="Arial"/>
          <w:sz w:val="24"/>
          <w:szCs w:val="24"/>
        </w:rPr>
        <w:t xml:space="preserve"> i </w:t>
      </w:r>
      <w:proofErr w:type="spellStart"/>
      <w:r w:rsidRPr="005C573E">
        <w:rPr>
          <w:rFonts w:ascii="Arial" w:hAnsi="Arial" w:cs="Arial"/>
          <w:sz w:val="24"/>
          <w:szCs w:val="24"/>
        </w:rPr>
        <w:t>nasadzeniowy</w:t>
      </w:r>
      <w:proofErr w:type="spellEnd"/>
      <w:r w:rsidRPr="005C573E">
        <w:rPr>
          <w:rFonts w:ascii="Arial" w:hAnsi="Arial" w:cs="Arial"/>
          <w:sz w:val="24"/>
          <w:szCs w:val="24"/>
        </w:rPr>
        <w:t xml:space="preserve"> o zwiększonej odporności na choroby i szkodniki oraz warunki suszy rolniczej</w:t>
      </w:r>
    </w:p>
    <w:p w14:paraId="0159F8A8"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3. Bezpieczeństwo oraz poprawa jakości surowców roślinnych w zakresie stosowania nawozów i środków ochrony roślin</w:t>
      </w:r>
    </w:p>
    <w:p w14:paraId="73A4EA1E"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4. Innowacyjne technologie i maszyny dla rolnictwa, w tym precyzyjnego</w:t>
      </w:r>
    </w:p>
    <w:p w14:paraId="18B67DBC"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5. Zdrowa żywność, w tym ekologiczna, tradycyjna i regionalna</w:t>
      </w:r>
    </w:p>
    <w:p w14:paraId="2C02457A"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6. Innowacyjne sieci dystrybucji zdrowej, lokalnej i sezonowej żywności tzw. kooperatywy spożywcze</w:t>
      </w:r>
    </w:p>
    <w:p w14:paraId="6E302B4A"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7. Technologie przetwórstwa rolno-spożywczego ograniczające zużycie energii i wody</w:t>
      </w:r>
    </w:p>
    <w:p w14:paraId="48F9AB25"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8. Technologie podnoszące jakość, trwałość, funkcjonalność i bezpieczeństwo produktów pochodzenia roślinnego i zwierzęcego</w:t>
      </w:r>
    </w:p>
    <w:p w14:paraId="2D278E9F"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9. Zrównoważona produkcja, przetwórstwo i przechowalnictwo</w:t>
      </w:r>
    </w:p>
    <w:p w14:paraId="61973DFB"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10. Innowacyjne systemy i oprogramowanie oraz inteligentne metody i narzędzia zarządzania i monitorowania przebiegu procesu produkcji oraz oceny jakości surowców i produktów gotowych</w:t>
      </w:r>
    </w:p>
    <w:p w14:paraId="0231A652"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11. Rozwijanie narzędzi i nowoczesnych technik badawczych oraz markerów jakości żywności</w:t>
      </w:r>
    </w:p>
    <w:p w14:paraId="45C64CFD"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 xml:space="preserve">12. Innowacyjne systemy, układy, sensory i detektory elektroniczne i </w:t>
      </w:r>
      <w:proofErr w:type="spellStart"/>
      <w:r w:rsidRPr="005C573E">
        <w:rPr>
          <w:rFonts w:ascii="Arial" w:hAnsi="Arial" w:cs="Arial"/>
          <w:sz w:val="24"/>
          <w:szCs w:val="24"/>
        </w:rPr>
        <w:t>fotoniczne</w:t>
      </w:r>
      <w:proofErr w:type="spellEnd"/>
      <w:r w:rsidRPr="005C573E">
        <w:rPr>
          <w:rFonts w:ascii="Arial" w:hAnsi="Arial" w:cs="Arial"/>
          <w:sz w:val="24"/>
          <w:szCs w:val="24"/>
        </w:rPr>
        <w:t xml:space="preserve"> do zastosowań rolno-spożywczych</w:t>
      </w:r>
    </w:p>
    <w:p w14:paraId="63845E67"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13. Technologie cyfrowe, w tym rozwiązania informatyczne służące do gromadzenia i analizy danych, wspomagających procesy produkcyjne w sektorze rolno-spożywczym</w:t>
      </w:r>
    </w:p>
    <w:p w14:paraId="682673C0"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14. Technologie w zakresie transportu i przechowywania żywności</w:t>
      </w:r>
    </w:p>
    <w:p w14:paraId="263380E4"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15. Innowacyjne modele marketingowe w promocji żywności wysokiej jakości</w:t>
      </w:r>
    </w:p>
    <w:p w14:paraId="20E47323" w14:textId="77777777" w:rsidR="00576A67" w:rsidRPr="005C573E" w:rsidRDefault="00576A67" w:rsidP="00576A67">
      <w:pPr>
        <w:spacing w:after="0" w:line="23" w:lineRule="atLeast"/>
        <w:rPr>
          <w:rFonts w:ascii="Arial" w:hAnsi="Arial" w:cs="Arial"/>
          <w:sz w:val="24"/>
          <w:szCs w:val="24"/>
        </w:rPr>
      </w:pPr>
    </w:p>
    <w:p w14:paraId="7721C40D" w14:textId="77777777" w:rsidR="00576A67" w:rsidRPr="005C573E" w:rsidRDefault="00576A67" w:rsidP="00576A67">
      <w:pPr>
        <w:spacing w:after="0" w:line="23" w:lineRule="atLeast"/>
        <w:rPr>
          <w:rFonts w:ascii="Arial" w:hAnsi="Arial" w:cs="Arial"/>
          <w:b/>
          <w:bCs/>
          <w:sz w:val="24"/>
          <w:szCs w:val="24"/>
        </w:rPr>
      </w:pPr>
      <w:r w:rsidRPr="005C573E">
        <w:rPr>
          <w:rFonts w:ascii="Arial" w:hAnsi="Arial" w:cs="Arial"/>
          <w:b/>
          <w:bCs/>
          <w:sz w:val="24"/>
          <w:szCs w:val="24"/>
        </w:rPr>
        <w:t>II. Zielona gospodarka</w:t>
      </w:r>
    </w:p>
    <w:p w14:paraId="656B2BB8"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1. Efektywne zarządzanie zasobami obejmujące ich przetwarzanie, produkcję, sprzedaż, użytkowanie i zagospodarowanie odpadów</w:t>
      </w:r>
    </w:p>
    <w:p w14:paraId="5B791B91"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2. Wykorzystywanie biomasy do produkcji materiałów zastępujących inne nieodnawialne surowce</w:t>
      </w:r>
    </w:p>
    <w:p w14:paraId="50236ED4"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3. Obniżanie emisyjności przemysłu</w:t>
      </w:r>
    </w:p>
    <w:p w14:paraId="7A5F9D18"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4. Technologie i systemy przeciwdziałające zagrożeniom środowiskowym oraz monitoring poziomu zanieczyszczeń</w:t>
      </w:r>
    </w:p>
    <w:p w14:paraId="411A9901"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5. Biodegradowalność surowców oraz optymalizacja zagospodarowania odpadów poprodukcyjnych (technologie, procesy, produkty)</w:t>
      </w:r>
    </w:p>
    <w:p w14:paraId="346C9BCC"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6. Zero waste food</w:t>
      </w:r>
    </w:p>
    <w:p w14:paraId="45A1B22F"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7. Biotechnologie w inżynierii i ochronie środowiska</w:t>
      </w:r>
    </w:p>
    <w:p w14:paraId="673D7D14"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 xml:space="preserve">8. Innowacyjne systemy, układy, sensory i detektory elektroniczne i </w:t>
      </w:r>
      <w:proofErr w:type="spellStart"/>
      <w:r w:rsidRPr="005C573E">
        <w:rPr>
          <w:rFonts w:ascii="Arial" w:hAnsi="Arial" w:cs="Arial"/>
          <w:sz w:val="24"/>
          <w:szCs w:val="24"/>
        </w:rPr>
        <w:t>fotoniczne</w:t>
      </w:r>
      <w:proofErr w:type="spellEnd"/>
      <w:r w:rsidRPr="005C573E">
        <w:rPr>
          <w:rFonts w:ascii="Arial" w:hAnsi="Arial" w:cs="Arial"/>
          <w:sz w:val="24"/>
          <w:szCs w:val="24"/>
        </w:rPr>
        <w:t xml:space="preserve"> do zastosowań w ochronie środowiska</w:t>
      </w:r>
    </w:p>
    <w:p w14:paraId="3CF45776"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9. Metody ochrony i rekultywacji gleb oraz oczyszczanie ścieków</w:t>
      </w:r>
    </w:p>
    <w:p w14:paraId="04CC12A0"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10. Oszczędna i efektywna gospodarka wodna</w:t>
      </w:r>
    </w:p>
    <w:p w14:paraId="23F345EA"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11. Czyste technologie węglowe</w:t>
      </w:r>
    </w:p>
    <w:p w14:paraId="46CDE7EA"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12. Substancje bioaktywne przeznaczone do wytwarzania środków ochrony roślin, nawozów i leków, w tym leków weterynaryjnych</w:t>
      </w:r>
    </w:p>
    <w:p w14:paraId="6446E7E7"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13. (</w:t>
      </w:r>
      <w:proofErr w:type="spellStart"/>
      <w:r w:rsidRPr="005C573E">
        <w:rPr>
          <w:rFonts w:ascii="Arial" w:hAnsi="Arial" w:cs="Arial"/>
          <w:sz w:val="24"/>
          <w:szCs w:val="24"/>
        </w:rPr>
        <w:t>Bio</w:t>
      </w:r>
      <w:proofErr w:type="spellEnd"/>
      <w:r w:rsidRPr="005C573E">
        <w:rPr>
          <w:rFonts w:ascii="Arial" w:hAnsi="Arial" w:cs="Arial"/>
          <w:sz w:val="24"/>
          <w:szCs w:val="24"/>
        </w:rPr>
        <w:t>)polimery i (</w:t>
      </w:r>
      <w:proofErr w:type="spellStart"/>
      <w:r w:rsidRPr="005C573E">
        <w:rPr>
          <w:rFonts w:ascii="Arial" w:hAnsi="Arial" w:cs="Arial"/>
          <w:sz w:val="24"/>
          <w:szCs w:val="24"/>
        </w:rPr>
        <w:t>bio</w:t>
      </w:r>
      <w:proofErr w:type="spellEnd"/>
      <w:r w:rsidRPr="005C573E">
        <w:rPr>
          <w:rFonts w:ascii="Arial" w:hAnsi="Arial" w:cs="Arial"/>
          <w:sz w:val="24"/>
          <w:szCs w:val="24"/>
        </w:rPr>
        <w:t>)tworzywa</w:t>
      </w:r>
    </w:p>
    <w:p w14:paraId="0F3B7857"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14. Zwiększenie wykorzystania odnawialnych źródeł energii</w:t>
      </w:r>
    </w:p>
    <w:p w14:paraId="778458E6"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15. Energia z odpadów i paliw alternatywnych</w:t>
      </w:r>
    </w:p>
    <w:p w14:paraId="2B5371B5"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16. Poprawa efektywności konwersji energii</w:t>
      </w:r>
    </w:p>
    <w:p w14:paraId="3B3DF3DD"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 xml:space="preserve">17. Innowacyjne systemy wytwarzania, zarządzania, </w:t>
      </w:r>
      <w:proofErr w:type="spellStart"/>
      <w:r w:rsidRPr="005C573E">
        <w:rPr>
          <w:rFonts w:ascii="Arial" w:hAnsi="Arial" w:cs="Arial"/>
          <w:sz w:val="24"/>
          <w:szCs w:val="24"/>
        </w:rPr>
        <w:t>przesyłu</w:t>
      </w:r>
      <w:proofErr w:type="spellEnd"/>
      <w:r w:rsidRPr="005C573E">
        <w:rPr>
          <w:rFonts w:ascii="Arial" w:hAnsi="Arial" w:cs="Arial"/>
          <w:sz w:val="24"/>
          <w:szCs w:val="24"/>
        </w:rPr>
        <w:t>, dystrybucji energii</w:t>
      </w:r>
    </w:p>
    <w:p w14:paraId="52C12739"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18. Inteligentne rozwiązania w sieciach elektroenergetycznych</w:t>
      </w:r>
    </w:p>
    <w:p w14:paraId="570A898D"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lastRenderedPageBreak/>
        <w:t>19. Metody i technologie magazynowania energii</w:t>
      </w:r>
    </w:p>
    <w:p w14:paraId="4A4BC9E1"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 xml:space="preserve">20. Smart </w:t>
      </w:r>
      <w:proofErr w:type="spellStart"/>
      <w:r w:rsidRPr="005C573E">
        <w:rPr>
          <w:rFonts w:ascii="Arial" w:hAnsi="Arial" w:cs="Arial"/>
          <w:sz w:val="24"/>
          <w:szCs w:val="24"/>
        </w:rPr>
        <w:t>mettering</w:t>
      </w:r>
      <w:proofErr w:type="spellEnd"/>
      <w:r w:rsidRPr="005C573E">
        <w:rPr>
          <w:rFonts w:ascii="Arial" w:hAnsi="Arial" w:cs="Arial"/>
          <w:sz w:val="24"/>
          <w:szCs w:val="24"/>
        </w:rPr>
        <w:t xml:space="preserve"> i inteligentne liczniki energii</w:t>
      </w:r>
    </w:p>
    <w:p w14:paraId="588C868B"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21. Nowoczesne systemy ciepłownicze i chłodnicze</w:t>
      </w:r>
    </w:p>
    <w:p w14:paraId="2212591E"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22. Systemy izolacyjne sprzyjające energooszczędności</w:t>
      </w:r>
    </w:p>
    <w:p w14:paraId="34F1867A"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23. Systemy dystrybucji energii w budynkach</w:t>
      </w:r>
    </w:p>
    <w:p w14:paraId="30C0C11A"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24. Inteligentne, energooszczędne systemy oświetleniowe</w:t>
      </w:r>
    </w:p>
    <w:p w14:paraId="6DBCC08F"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 xml:space="preserve">25. Rozwój infrastruktury sprzyjającej </w:t>
      </w:r>
      <w:proofErr w:type="spellStart"/>
      <w:r w:rsidRPr="005C573E">
        <w:rPr>
          <w:rFonts w:ascii="Arial" w:hAnsi="Arial" w:cs="Arial"/>
          <w:sz w:val="24"/>
          <w:szCs w:val="24"/>
        </w:rPr>
        <w:t>elektromobilności</w:t>
      </w:r>
      <w:proofErr w:type="spellEnd"/>
    </w:p>
    <w:p w14:paraId="7D341E0A" w14:textId="77777777" w:rsidR="00576A67" w:rsidRPr="005C573E" w:rsidRDefault="00576A67" w:rsidP="00576A67">
      <w:pPr>
        <w:spacing w:after="0" w:line="23" w:lineRule="atLeast"/>
        <w:rPr>
          <w:rFonts w:ascii="Arial" w:hAnsi="Arial" w:cs="Arial"/>
          <w:sz w:val="24"/>
          <w:szCs w:val="24"/>
        </w:rPr>
      </w:pPr>
    </w:p>
    <w:p w14:paraId="53715BA5" w14:textId="77777777" w:rsidR="00576A67" w:rsidRPr="005C573E" w:rsidRDefault="00576A67" w:rsidP="00576A67">
      <w:pPr>
        <w:spacing w:after="0" w:line="23" w:lineRule="atLeast"/>
        <w:rPr>
          <w:rFonts w:ascii="Arial" w:hAnsi="Arial" w:cs="Arial"/>
          <w:b/>
          <w:bCs/>
          <w:sz w:val="24"/>
          <w:szCs w:val="24"/>
        </w:rPr>
      </w:pPr>
      <w:r w:rsidRPr="005C573E">
        <w:rPr>
          <w:rFonts w:ascii="Arial" w:hAnsi="Arial" w:cs="Arial"/>
          <w:b/>
          <w:bCs/>
          <w:sz w:val="24"/>
          <w:szCs w:val="24"/>
        </w:rPr>
        <w:t>III. Zdrowe społeczeństwo</w:t>
      </w:r>
    </w:p>
    <w:p w14:paraId="3ED5A614"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 xml:space="preserve">1. Promocja zdrowego stylu życia, w tym rozwój branży </w:t>
      </w:r>
      <w:proofErr w:type="spellStart"/>
      <w:r w:rsidRPr="005C573E">
        <w:rPr>
          <w:rFonts w:ascii="Arial" w:hAnsi="Arial" w:cs="Arial"/>
          <w:sz w:val="24"/>
          <w:szCs w:val="24"/>
        </w:rPr>
        <w:t>wellness</w:t>
      </w:r>
      <w:proofErr w:type="spellEnd"/>
    </w:p>
    <w:p w14:paraId="25511EA4"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2. Profilaktyka chorób cywilizacyjnych i przeciwdziałanie zagrożeniom</w:t>
      </w:r>
    </w:p>
    <w:p w14:paraId="34113718"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epidemiologicznym, w tym nowe innowacyjne metody leczenia i profilaktyki</w:t>
      </w:r>
    </w:p>
    <w:p w14:paraId="137B726E"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3. Turystyka, w tym turystyka zdrowotna i prozdrowotna</w:t>
      </w:r>
    </w:p>
    <w:p w14:paraId="01E1B038"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4. Wykorzystanie zasobów (walorów) naturalnych regionu w funkcji uzdrowiskowej</w:t>
      </w:r>
    </w:p>
    <w:p w14:paraId="4A32080B"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5. Rozwój usług i produktów skierowanych do osób starszych, z niepełnosprawnościami, sprzyjających utrzymaniu ich samodzielności i aktywności</w:t>
      </w:r>
    </w:p>
    <w:p w14:paraId="7C6B7492"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6. Nowe leki, innowacyjne suplementy diety, żywność funkcjonalna i środki spożywcze specjalnego przeznaczenia żywieniowego</w:t>
      </w:r>
    </w:p>
    <w:p w14:paraId="41640F6F"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7. Innowacyjne kosmetyki</w:t>
      </w:r>
    </w:p>
    <w:p w14:paraId="36B0DBAF"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8. Innowacyjne substancje biologicznie czynne jako potencjalne leki nowej generacji</w:t>
      </w:r>
    </w:p>
    <w:p w14:paraId="39E8918E"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9. Diagnostyka i terapia genowa</w:t>
      </w:r>
    </w:p>
    <w:p w14:paraId="2A24CB48"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10. Medycyna spersonalizowana</w:t>
      </w:r>
    </w:p>
    <w:p w14:paraId="609742B3"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11. Zintegrowana opieka medyczna</w:t>
      </w:r>
    </w:p>
    <w:p w14:paraId="25E6BA0D"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12. Chirurgia minimalnie inwazyjna</w:t>
      </w:r>
    </w:p>
    <w:p w14:paraId="1F7C4337"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13. Medycyna regeneracyjna i inżynieria tkankowa</w:t>
      </w:r>
    </w:p>
    <w:p w14:paraId="7D2B5B2F"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14. Medycyna translacyjna</w:t>
      </w:r>
    </w:p>
    <w:p w14:paraId="035621D9"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 xml:space="preserve">15. </w:t>
      </w:r>
      <w:proofErr w:type="spellStart"/>
      <w:r w:rsidRPr="005C573E">
        <w:rPr>
          <w:rFonts w:ascii="Arial" w:hAnsi="Arial" w:cs="Arial"/>
          <w:sz w:val="24"/>
          <w:szCs w:val="24"/>
        </w:rPr>
        <w:t>Teleopieka</w:t>
      </w:r>
      <w:proofErr w:type="spellEnd"/>
      <w:r w:rsidRPr="005C573E">
        <w:rPr>
          <w:rFonts w:ascii="Arial" w:hAnsi="Arial" w:cs="Arial"/>
          <w:sz w:val="24"/>
          <w:szCs w:val="24"/>
        </w:rPr>
        <w:t xml:space="preserve"> i </w:t>
      </w:r>
      <w:proofErr w:type="spellStart"/>
      <w:r w:rsidRPr="005C573E">
        <w:rPr>
          <w:rFonts w:ascii="Arial" w:hAnsi="Arial" w:cs="Arial"/>
          <w:sz w:val="24"/>
          <w:szCs w:val="24"/>
        </w:rPr>
        <w:t>telemedycyna</w:t>
      </w:r>
      <w:proofErr w:type="spellEnd"/>
    </w:p>
    <w:p w14:paraId="1A5D3A68"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16. Nowoczesne technologie materiałowe i materiały w medycynie i rehabilitacji</w:t>
      </w:r>
    </w:p>
    <w:p w14:paraId="05966095"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17. Informatyczne narzędzia medyczne do gromadzenia i analizy danych medycznych w celach diagnostycznych, terapeutycznych i rehabilitacyjnych</w:t>
      </w:r>
    </w:p>
    <w:p w14:paraId="7503DB77"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 xml:space="preserve">18. Innowacyjne systemy, układy, sensory i detektory elektroniczne i </w:t>
      </w:r>
      <w:proofErr w:type="spellStart"/>
      <w:r w:rsidRPr="005C573E">
        <w:rPr>
          <w:rFonts w:ascii="Arial" w:hAnsi="Arial" w:cs="Arial"/>
          <w:sz w:val="24"/>
          <w:szCs w:val="24"/>
        </w:rPr>
        <w:t>fotoniczne</w:t>
      </w:r>
      <w:proofErr w:type="spellEnd"/>
      <w:r w:rsidRPr="005C573E">
        <w:rPr>
          <w:rFonts w:ascii="Arial" w:hAnsi="Arial" w:cs="Arial"/>
          <w:sz w:val="24"/>
          <w:szCs w:val="24"/>
        </w:rPr>
        <w:t xml:space="preserve"> do zastosowań medycznych</w:t>
      </w:r>
    </w:p>
    <w:p w14:paraId="30074BEF"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19. Biosensory</w:t>
      </w:r>
    </w:p>
    <w:p w14:paraId="22F8D24A"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20. Algorytmy sztucznej inteligencji do zastosowania medycznego</w:t>
      </w:r>
    </w:p>
    <w:p w14:paraId="3EA818C8"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21. Robotyka medyczna</w:t>
      </w:r>
    </w:p>
    <w:p w14:paraId="51CB7776"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22. Rzeczywistość wirtualna i technologie symulacyjne w medycynie</w:t>
      </w:r>
    </w:p>
    <w:p w14:paraId="05B2DCA9" w14:textId="77777777" w:rsidR="00576A67" w:rsidRPr="005C573E" w:rsidRDefault="00576A67" w:rsidP="00576A67">
      <w:pPr>
        <w:spacing w:after="0" w:line="23" w:lineRule="atLeast"/>
        <w:rPr>
          <w:rFonts w:ascii="Arial" w:hAnsi="Arial" w:cs="Arial"/>
          <w:sz w:val="24"/>
          <w:szCs w:val="24"/>
        </w:rPr>
      </w:pPr>
    </w:p>
    <w:p w14:paraId="39C7FD5C" w14:textId="77777777" w:rsidR="00576A67" w:rsidRPr="005C573E" w:rsidRDefault="00576A67" w:rsidP="00576A67">
      <w:pPr>
        <w:spacing w:after="0" w:line="23" w:lineRule="atLeast"/>
        <w:rPr>
          <w:rFonts w:ascii="Arial" w:hAnsi="Arial" w:cs="Arial"/>
          <w:b/>
          <w:bCs/>
          <w:sz w:val="24"/>
          <w:szCs w:val="24"/>
        </w:rPr>
      </w:pPr>
      <w:r w:rsidRPr="005C573E">
        <w:rPr>
          <w:rFonts w:ascii="Arial" w:hAnsi="Arial" w:cs="Arial"/>
          <w:b/>
          <w:bCs/>
          <w:sz w:val="24"/>
          <w:szCs w:val="24"/>
        </w:rPr>
        <w:t>IV. Cyfrowe społeczeństwo</w:t>
      </w:r>
    </w:p>
    <w:p w14:paraId="484F9494"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 xml:space="preserve">1. Gromadzenie i przechowywanie danych, </w:t>
      </w:r>
      <w:proofErr w:type="spellStart"/>
      <w:r w:rsidRPr="005C573E">
        <w:rPr>
          <w:rFonts w:ascii="Arial" w:hAnsi="Arial" w:cs="Arial"/>
          <w:sz w:val="24"/>
          <w:szCs w:val="24"/>
        </w:rPr>
        <w:t>dygitalizaja</w:t>
      </w:r>
      <w:proofErr w:type="spellEnd"/>
      <w:r w:rsidRPr="005C573E">
        <w:rPr>
          <w:rFonts w:ascii="Arial" w:hAnsi="Arial" w:cs="Arial"/>
          <w:sz w:val="24"/>
          <w:szCs w:val="24"/>
        </w:rPr>
        <w:t xml:space="preserve"> zasobów, chmury</w:t>
      </w:r>
    </w:p>
    <w:p w14:paraId="3003C9A8"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2. Aplikacje i analizy potencjału rynku</w:t>
      </w:r>
    </w:p>
    <w:p w14:paraId="1C5C0E58"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3. Projektowanie, zarządzanie, optymalizacja i sterowanie procesami produkcyjnymi</w:t>
      </w:r>
    </w:p>
    <w:p w14:paraId="129F176B"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4. Technologie i systemy służące świadczeniu usług dla biznesu</w:t>
      </w:r>
    </w:p>
    <w:p w14:paraId="7C52285A"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5. Technologie i inteligentne systemy telekomunikacyjne i teleinformatyczne, w tym</w:t>
      </w:r>
    </w:p>
    <w:p w14:paraId="76E305A5" w14:textId="77777777" w:rsidR="00576A67" w:rsidRPr="005C573E" w:rsidRDefault="00576A67" w:rsidP="00576A67">
      <w:pPr>
        <w:spacing w:after="0" w:line="23" w:lineRule="atLeast"/>
        <w:rPr>
          <w:rFonts w:ascii="Arial" w:hAnsi="Arial" w:cs="Arial"/>
          <w:sz w:val="24"/>
          <w:szCs w:val="24"/>
        </w:rPr>
      </w:pPr>
      <w:proofErr w:type="spellStart"/>
      <w:r w:rsidRPr="005C573E">
        <w:rPr>
          <w:rFonts w:ascii="Arial" w:hAnsi="Arial" w:cs="Arial"/>
          <w:sz w:val="24"/>
          <w:szCs w:val="24"/>
        </w:rPr>
        <w:t>internet</w:t>
      </w:r>
      <w:proofErr w:type="spellEnd"/>
      <w:r w:rsidRPr="005C573E">
        <w:rPr>
          <w:rFonts w:ascii="Arial" w:hAnsi="Arial" w:cs="Arial"/>
          <w:sz w:val="24"/>
          <w:szCs w:val="24"/>
        </w:rPr>
        <w:t xml:space="preserve"> rzeczy</w:t>
      </w:r>
    </w:p>
    <w:p w14:paraId="7E5C7C01"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6. Systemy służące sprzedaży oraz obsłudze klienta, platformy e-zakupowe, telemarketing</w:t>
      </w:r>
    </w:p>
    <w:p w14:paraId="3D0E3650"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7. Systemy i usługi płatnicze i finansowe (e-commerce)</w:t>
      </w:r>
    </w:p>
    <w:p w14:paraId="65466FF4"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8. Systemy wykorzystywane w transporcie, w tym systemy sterowania ruchem</w:t>
      </w:r>
    </w:p>
    <w:p w14:paraId="5A41DC20"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9. Inteligentne bezzałogowe statki latające</w:t>
      </w:r>
    </w:p>
    <w:p w14:paraId="2BA69476"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10. Systemy i urządzenia sterowane numerycznie</w:t>
      </w:r>
    </w:p>
    <w:p w14:paraId="309A4EBB"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11. Bezpieczeństwo i systemy ochrony cyberprzestrzeni</w:t>
      </w:r>
    </w:p>
    <w:p w14:paraId="2ACB29F0"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 xml:space="preserve">12. </w:t>
      </w:r>
      <w:proofErr w:type="spellStart"/>
      <w:r w:rsidRPr="005C573E">
        <w:rPr>
          <w:rFonts w:ascii="Arial" w:hAnsi="Arial" w:cs="Arial"/>
          <w:sz w:val="24"/>
          <w:szCs w:val="24"/>
        </w:rPr>
        <w:t>Cyberbezpieczeństwo</w:t>
      </w:r>
      <w:proofErr w:type="spellEnd"/>
      <w:r w:rsidRPr="005C573E">
        <w:rPr>
          <w:rFonts w:ascii="Arial" w:hAnsi="Arial" w:cs="Arial"/>
          <w:sz w:val="24"/>
          <w:szCs w:val="24"/>
        </w:rPr>
        <w:t xml:space="preserve"> systemów energetycznych</w:t>
      </w:r>
    </w:p>
    <w:p w14:paraId="4F149309"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13. Systemy przewidywania i zapobiegania awariom</w:t>
      </w:r>
    </w:p>
    <w:p w14:paraId="6359989C"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lastRenderedPageBreak/>
        <w:t>14. Przestrzenne systemy nawigacje i monitorowania, w tym rozwiązania stosowane w obiektach zamkniętych</w:t>
      </w:r>
    </w:p>
    <w:p w14:paraId="7F40786D"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15. Zintegrowane systemy zarządzania budynkami</w:t>
      </w:r>
    </w:p>
    <w:p w14:paraId="6758F30B"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16. Systemy bezinwazyjnego pomiaru i detekcji</w:t>
      </w:r>
    </w:p>
    <w:p w14:paraId="5A70DA2A"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17. Projektowanie, w tym projektowanie wnętrz i zabudowy</w:t>
      </w:r>
    </w:p>
    <w:p w14:paraId="366E700D"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18. Rzeczywistość wirtualna i technologie symulacyjne</w:t>
      </w:r>
    </w:p>
    <w:p w14:paraId="45CD60B0"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19. Wykorzystanie TIK na rzecz rozwoju edukacji w obszarze umiejętności cyfrowych w celu stworzenia warunków do edukacji zdalnej (na odległość)</w:t>
      </w:r>
    </w:p>
    <w:p w14:paraId="73032217"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20. Innowacyjne produkty i technologie stosowane w upowszechnianiu kultury i dziedzictwa narodowego oraz zabezpieczaniu zbiorów i ich konserwacji</w:t>
      </w:r>
    </w:p>
    <w:p w14:paraId="5A3FCA9C"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21. Innowacyjne produkty i technologie stosowane w sporcie, rozrywce, reklamie i multimediach</w:t>
      </w:r>
    </w:p>
    <w:p w14:paraId="5C4C9F0F"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22. Rozwój oprogramowania i technologii związanych ze sztuczną inteligencją i uczeniem maszynowym</w:t>
      </w:r>
    </w:p>
    <w:p w14:paraId="027EDADE" w14:textId="77777777" w:rsidR="00576A67" w:rsidRPr="005C573E" w:rsidRDefault="00576A67" w:rsidP="00576A67">
      <w:pPr>
        <w:spacing w:after="0" w:line="23" w:lineRule="atLeast"/>
        <w:rPr>
          <w:rFonts w:ascii="Arial" w:hAnsi="Arial" w:cs="Arial"/>
          <w:sz w:val="24"/>
          <w:szCs w:val="24"/>
        </w:rPr>
      </w:pPr>
    </w:p>
    <w:p w14:paraId="579F3703" w14:textId="77777777" w:rsidR="00576A67" w:rsidRPr="005C573E" w:rsidRDefault="00576A67" w:rsidP="00576A67">
      <w:pPr>
        <w:spacing w:after="0" w:line="23" w:lineRule="atLeast"/>
        <w:rPr>
          <w:rFonts w:ascii="Arial" w:hAnsi="Arial" w:cs="Arial"/>
          <w:b/>
          <w:bCs/>
          <w:sz w:val="24"/>
          <w:szCs w:val="24"/>
        </w:rPr>
      </w:pPr>
      <w:r w:rsidRPr="005C573E">
        <w:rPr>
          <w:rFonts w:ascii="Arial" w:hAnsi="Arial" w:cs="Arial"/>
          <w:b/>
          <w:bCs/>
          <w:sz w:val="24"/>
          <w:szCs w:val="24"/>
        </w:rPr>
        <w:t>V. Technologie materiałowe, procesy produkcyjne i logistyczne</w:t>
      </w:r>
    </w:p>
    <w:p w14:paraId="120E490F"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1. Materiały o podwyższonych parametrach konstrukcyjnych i izolacyjnych, trwałości oraz charakteryzujące się wysoką odpornością na zużycie i czynniki degradujące</w:t>
      </w:r>
    </w:p>
    <w:p w14:paraId="49157C32"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 xml:space="preserve">2. </w:t>
      </w:r>
      <w:proofErr w:type="spellStart"/>
      <w:r w:rsidRPr="005C573E">
        <w:rPr>
          <w:rFonts w:ascii="Arial" w:hAnsi="Arial" w:cs="Arial"/>
          <w:sz w:val="24"/>
          <w:szCs w:val="24"/>
        </w:rPr>
        <w:t>Niskoodpadowe</w:t>
      </w:r>
      <w:proofErr w:type="spellEnd"/>
      <w:r w:rsidRPr="005C573E">
        <w:rPr>
          <w:rFonts w:ascii="Arial" w:hAnsi="Arial" w:cs="Arial"/>
          <w:sz w:val="24"/>
          <w:szCs w:val="24"/>
        </w:rPr>
        <w:t xml:space="preserve"> technologie i linie produkcyjne wykorzystywane w procesach produkcyjnych</w:t>
      </w:r>
    </w:p>
    <w:p w14:paraId="584A6966"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3. Innowacyjne maszyny i urządzenia zmniejszające energochłonność i pracochłonność produkcji oraz zwiększające bezpieczeństwo pracy</w:t>
      </w:r>
    </w:p>
    <w:p w14:paraId="39BA42B9"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4. Technologie i linie produkcyjne do wytwarzania materiałów i wyrobów z zastosowaniem surowców towarzyszących, produktów ubocznych i odpadów</w:t>
      </w:r>
    </w:p>
    <w:p w14:paraId="399E96CA"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5. Nowoczesne technologie i materiały dla sektora lotniczego</w:t>
      </w:r>
    </w:p>
    <w:p w14:paraId="140B8639"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6. Inżynieria mechaniczna w zakresie nowoczesnych metod wytwarzania</w:t>
      </w:r>
    </w:p>
    <w:p w14:paraId="1928ED16"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7. Innowacyjne metody i narzędzia stosowane do oceny jakości wykonanych produktów</w:t>
      </w:r>
    </w:p>
    <w:p w14:paraId="521C1732"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8. Nowoczesne technologie budowy dróg i mostów</w:t>
      </w:r>
    </w:p>
    <w:p w14:paraId="1AB2A777"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9. Innowacyjne konstrukcje nośne z zastosowaniem nowoczesnych materiałów</w:t>
      </w:r>
    </w:p>
    <w:p w14:paraId="52CF52F3"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konstrukcyjnych, w tym kompozytów</w:t>
      </w:r>
    </w:p>
    <w:p w14:paraId="76AE227E"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10. Technologie i systemy sprzyjające racjonalnemu wykorzystaniu ciepła i wody w procesach produkcyjnych</w:t>
      </w:r>
    </w:p>
    <w:p w14:paraId="116E4366"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11. Ponowne wykorzystanie materiałów oraz elementów budowlanych (recykling w budownictwie)</w:t>
      </w:r>
    </w:p>
    <w:p w14:paraId="4E1C4AD7"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12. Innowacyjne pokrycia dachowe oraz zawansowane technologicznie okna i drzwi</w:t>
      </w:r>
    </w:p>
    <w:p w14:paraId="2E6FE915"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 xml:space="preserve">13. Innowacyjne systemy, układy, sensory i detektory elektroniczne i </w:t>
      </w:r>
      <w:proofErr w:type="spellStart"/>
      <w:r w:rsidRPr="005C573E">
        <w:rPr>
          <w:rFonts w:ascii="Arial" w:hAnsi="Arial" w:cs="Arial"/>
          <w:sz w:val="24"/>
          <w:szCs w:val="24"/>
        </w:rPr>
        <w:t>fotoniczne</w:t>
      </w:r>
      <w:proofErr w:type="spellEnd"/>
      <w:r w:rsidRPr="005C573E">
        <w:rPr>
          <w:rFonts w:ascii="Arial" w:hAnsi="Arial" w:cs="Arial"/>
          <w:sz w:val="24"/>
          <w:szCs w:val="24"/>
        </w:rPr>
        <w:t xml:space="preserve"> do zastosowań w procesach produkcyjnych i logistycznych, energetyce i budownictwie</w:t>
      </w:r>
    </w:p>
    <w:p w14:paraId="164D8F57"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14. Innowacyjne technologie VR do zastosowań w procesach produkcyjnych i budownictwie</w:t>
      </w:r>
    </w:p>
    <w:p w14:paraId="3880C5BC"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15. Automatyka przemysłowa i usługowa</w:t>
      </w:r>
    </w:p>
    <w:p w14:paraId="3F2EA1ED"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16. Inteligentne opakowania umożliwiające monitoring jakości i zawartości otoczenia</w:t>
      </w:r>
    </w:p>
    <w:p w14:paraId="7B06D8C3"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17. Inteligentne magazyny z wysoce zautomatyzowanymi procesami logistycznymi</w:t>
      </w:r>
    </w:p>
    <w:p w14:paraId="50B69E9C"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18. Nowoczesne opakowania, w tym biodegradowalne i wielokrotnego użytku</w:t>
      </w:r>
    </w:p>
    <w:p w14:paraId="08EFA490"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19. Zarządzanie procesami technologicznymi i logistycznymi, w tym sterowanie łańcuchem dostaw</w:t>
      </w:r>
    </w:p>
    <w:p w14:paraId="6C88CC47" w14:textId="77777777" w:rsidR="00576A67" w:rsidRPr="005C573E" w:rsidRDefault="00576A67" w:rsidP="00576A67">
      <w:pPr>
        <w:spacing w:after="0" w:line="23" w:lineRule="atLeast"/>
        <w:rPr>
          <w:rFonts w:ascii="Arial" w:hAnsi="Arial" w:cs="Arial"/>
          <w:sz w:val="24"/>
          <w:szCs w:val="24"/>
        </w:rPr>
      </w:pPr>
      <w:r w:rsidRPr="005C573E">
        <w:rPr>
          <w:rFonts w:ascii="Arial" w:hAnsi="Arial" w:cs="Arial"/>
          <w:sz w:val="24"/>
          <w:szCs w:val="24"/>
        </w:rPr>
        <w:t>20. Systemy i rozwiązania stosowane w usługach spedytorskich i dyspozytorskich</w:t>
      </w:r>
    </w:p>
    <w:p w14:paraId="5711A0D3" w14:textId="77777777" w:rsidR="00576A67" w:rsidRPr="005C573E" w:rsidRDefault="00576A67" w:rsidP="00576A67">
      <w:pPr>
        <w:spacing w:line="23" w:lineRule="atLeast"/>
      </w:pPr>
    </w:p>
    <w:p w14:paraId="495647AB" w14:textId="77777777" w:rsidR="00272016" w:rsidRPr="005C573E" w:rsidRDefault="00272016"/>
    <w:sectPr w:rsidR="00272016" w:rsidRPr="005C573E" w:rsidSect="00576A67">
      <w:headerReference w:type="default" r:id="rId14"/>
      <w:pgSz w:w="11906" w:h="16838"/>
      <w:pgMar w:top="720" w:right="720" w:bottom="720" w:left="72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39A5A" w14:textId="77777777" w:rsidR="004E0431" w:rsidRDefault="004E0431" w:rsidP="00576A67">
      <w:pPr>
        <w:spacing w:after="0"/>
      </w:pPr>
      <w:r>
        <w:separator/>
      </w:r>
    </w:p>
  </w:endnote>
  <w:endnote w:type="continuationSeparator" w:id="0">
    <w:p w14:paraId="31B39D44" w14:textId="77777777" w:rsidR="004E0431" w:rsidRDefault="004E0431" w:rsidP="00576A67">
      <w:pPr>
        <w:spacing w:after="0"/>
      </w:pPr>
      <w:r>
        <w:continuationSeparator/>
      </w:r>
    </w:p>
  </w:endnote>
  <w:endnote w:type="continuationNotice" w:id="1">
    <w:p w14:paraId="1DA73E50" w14:textId="77777777" w:rsidR="004E0431" w:rsidRDefault="004E043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EE"/>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C7B20" w14:textId="77777777" w:rsidR="004E0431" w:rsidRDefault="004E0431" w:rsidP="00576A67">
      <w:pPr>
        <w:spacing w:after="0"/>
      </w:pPr>
      <w:r>
        <w:separator/>
      </w:r>
    </w:p>
  </w:footnote>
  <w:footnote w:type="continuationSeparator" w:id="0">
    <w:p w14:paraId="4097E98E" w14:textId="77777777" w:rsidR="004E0431" w:rsidRDefault="004E0431" w:rsidP="00576A67">
      <w:pPr>
        <w:spacing w:after="0"/>
      </w:pPr>
      <w:r>
        <w:continuationSeparator/>
      </w:r>
    </w:p>
  </w:footnote>
  <w:footnote w:type="continuationNotice" w:id="1">
    <w:p w14:paraId="398699DF" w14:textId="77777777" w:rsidR="004E0431" w:rsidRDefault="004E0431">
      <w:pPr>
        <w:spacing w:after="0"/>
      </w:pPr>
    </w:p>
  </w:footnote>
  <w:footnote w:id="2">
    <w:p w14:paraId="5A53A12F" w14:textId="77777777" w:rsidR="00576A67" w:rsidRDefault="00576A67" w:rsidP="00576A67">
      <w:pPr>
        <w:pStyle w:val="Tekstprzypisudolnego"/>
        <w:jc w:val="both"/>
      </w:pPr>
      <w:r>
        <w:rPr>
          <w:rStyle w:val="Odwoanieprzypisudolnego"/>
        </w:rPr>
        <w:footnoteRef/>
      </w:r>
      <w:r>
        <w:t xml:space="preserve"> </w:t>
      </w:r>
      <w:r>
        <w:rPr>
          <w:rFonts w:ascii="Arial" w:hAnsi="Arial" w:cs="Arial"/>
          <w:sz w:val="18"/>
          <w:szCs w:val="18"/>
        </w:rPr>
        <w:t xml:space="preserve">https://www.lubelskie.pl/rsi-2030-aktualizacja: Lubelskie Centrum Badań nad Innowacyjnością w Departamencie Gospodarki i Wspierania Przedsiębiorczości Urzędu Marszałkowskiego Województwa Lubelskiego w Lublinie, Regionalna Strategia Innowacji Województwa Lubelskiego do 2030 roku, Lublin 2021 – dostęp: 4.01.2024 r. </w:t>
      </w:r>
    </w:p>
  </w:footnote>
  <w:footnote w:id="3">
    <w:p w14:paraId="555B5C71" w14:textId="77777777" w:rsidR="00576A67" w:rsidRDefault="00576A67" w:rsidP="00576A67">
      <w:pPr>
        <w:pStyle w:val="Tekstprzypisudolnego"/>
        <w:jc w:val="both"/>
      </w:pPr>
      <w:r>
        <w:rPr>
          <w:rStyle w:val="Odwoanieprzypisudolnego"/>
        </w:rPr>
        <w:footnoteRef/>
      </w:r>
      <w:r>
        <w:t xml:space="preserve"> </w:t>
      </w:r>
      <w:r>
        <w:rPr>
          <w:rFonts w:ascii="Arial" w:hAnsi="Arial" w:cs="Arial"/>
          <w:sz w:val="16"/>
          <w:szCs w:val="16"/>
        </w:rPr>
        <w:t>Zamawiający dopuszcza kontakt telefoniczny oraz e-mailowy lub/i przeprowadzenie spotkań za pośrednictwem technik internetowych, wówczas Wykonawca zobowiązany jest do uczestnictwa w spotkaniach za pomocą wideokonferencji z wykorzystaniem usług internetowych przy użyciu komputera i kamery.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6491F" w14:textId="77777777" w:rsidR="00576A67" w:rsidRDefault="00576A67">
    <w:pPr>
      <w:pStyle w:val="Nagwek"/>
    </w:pPr>
    <w:r>
      <w:rPr>
        <w:rFonts w:ascii="Times New Roman" w:eastAsia="Times New Roman" w:hAnsi="Times New Roman"/>
        <w:noProof/>
        <w:kern w:val="0"/>
        <w:sz w:val="24"/>
        <w:szCs w:val="24"/>
        <w:lang w:eastAsia="pl-PL"/>
      </w:rPr>
      <w:drawing>
        <wp:inline distT="0" distB="0" distL="0" distR="0" wp14:anchorId="2090165F" wp14:editId="52B6FAE0">
          <wp:extent cx="6267453" cy="567056"/>
          <wp:effectExtent l="0" t="0" r="0" b="4444"/>
          <wp:docPr id="2062523378" name="Obraz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6267453" cy="567056"/>
                  </a:xfrm>
                  <a:prstGeom prst="rect">
                    <a:avLst/>
                  </a:prstGeom>
                  <a:noFill/>
                  <a:ln>
                    <a:noFill/>
                    <a:prstDash/>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C228D"/>
    <w:multiLevelType w:val="multilevel"/>
    <w:tmpl w:val="65805E06"/>
    <w:lvl w:ilvl="0">
      <w:start w:val="1"/>
      <w:numFmt w:val="decimal"/>
      <w:lvlText w:val="%1."/>
      <w:lvlJc w:val="left"/>
      <w:pPr>
        <w:ind w:left="720" w:hanging="360"/>
      </w:pPr>
      <w:rPr>
        <w:b/>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 w15:restartNumberingAfterBreak="0">
    <w:nsid w:val="17445002"/>
    <w:multiLevelType w:val="multilevel"/>
    <w:tmpl w:val="26FCE4C0"/>
    <w:lvl w:ilvl="0">
      <w:start w:val="1"/>
      <w:numFmt w:val="upperRoman"/>
      <w:lvlText w:val="%1."/>
      <w:lvlJc w:val="left"/>
      <w:pPr>
        <w:ind w:left="1080" w:hanging="72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2" w15:restartNumberingAfterBreak="0">
    <w:nsid w:val="1D08603F"/>
    <w:multiLevelType w:val="multilevel"/>
    <w:tmpl w:val="39F02E3C"/>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3" w15:restartNumberingAfterBreak="0">
    <w:nsid w:val="1EE4376E"/>
    <w:multiLevelType w:val="multilevel"/>
    <w:tmpl w:val="7638BB3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25073170"/>
    <w:multiLevelType w:val="multilevel"/>
    <w:tmpl w:val="84F0766E"/>
    <w:lvl w:ilvl="0">
      <w:start w:val="1"/>
      <w:numFmt w:val="lowerLetter"/>
      <w:lvlText w:val="%1)"/>
      <w:lvlJc w:val="left"/>
      <w:pPr>
        <w:ind w:left="1080" w:hanging="360"/>
      </w:pPr>
    </w:lvl>
    <w:lvl w:ilvl="1">
      <w:start w:val="1"/>
      <w:numFmt w:val="lowerLetter"/>
      <w:lvlText w:val="."/>
      <w:lvlJc w:val="left"/>
      <w:pPr>
        <w:ind w:left="1800" w:hanging="360"/>
      </w:pPr>
    </w:lvl>
    <w:lvl w:ilvl="2">
      <w:start w:val="1"/>
      <w:numFmt w:val="lowerRoman"/>
      <w:lvlText w:val="."/>
      <w:lvlJc w:val="right"/>
      <w:pPr>
        <w:ind w:left="2520" w:hanging="180"/>
      </w:pPr>
    </w:lvl>
    <w:lvl w:ilvl="3">
      <w:start w:val="1"/>
      <w:numFmt w:val="decimal"/>
      <w:lvlText w:val="."/>
      <w:lvlJc w:val="left"/>
      <w:pPr>
        <w:ind w:left="3240" w:hanging="360"/>
      </w:pPr>
    </w:lvl>
    <w:lvl w:ilvl="4">
      <w:start w:val="1"/>
      <w:numFmt w:val="lowerLetter"/>
      <w:lvlText w:val="."/>
      <w:lvlJc w:val="left"/>
      <w:pPr>
        <w:ind w:left="3960" w:hanging="360"/>
      </w:pPr>
    </w:lvl>
    <w:lvl w:ilvl="5">
      <w:start w:val="1"/>
      <w:numFmt w:val="lowerRoman"/>
      <w:lvlText w:val="."/>
      <w:lvlJc w:val="right"/>
      <w:pPr>
        <w:ind w:left="4680" w:hanging="180"/>
      </w:pPr>
    </w:lvl>
    <w:lvl w:ilvl="6">
      <w:start w:val="1"/>
      <w:numFmt w:val="decimal"/>
      <w:lvlText w:val="."/>
      <w:lvlJc w:val="left"/>
      <w:pPr>
        <w:ind w:left="5400" w:hanging="360"/>
      </w:pPr>
    </w:lvl>
    <w:lvl w:ilvl="7">
      <w:start w:val="1"/>
      <w:numFmt w:val="lowerLetter"/>
      <w:lvlText w:val="."/>
      <w:lvlJc w:val="left"/>
      <w:pPr>
        <w:ind w:left="6120" w:hanging="360"/>
      </w:pPr>
    </w:lvl>
    <w:lvl w:ilvl="8">
      <w:start w:val="1"/>
      <w:numFmt w:val="lowerRoman"/>
      <w:lvlText w:val="."/>
      <w:lvlJc w:val="right"/>
      <w:pPr>
        <w:ind w:left="6840" w:hanging="180"/>
      </w:pPr>
    </w:lvl>
  </w:abstractNum>
  <w:abstractNum w:abstractNumId="5" w15:restartNumberingAfterBreak="0">
    <w:nsid w:val="4D416F60"/>
    <w:multiLevelType w:val="multilevel"/>
    <w:tmpl w:val="18D037B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573B2B1A"/>
    <w:multiLevelType w:val="multilevel"/>
    <w:tmpl w:val="7EA610E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61A40AED"/>
    <w:multiLevelType w:val="multilevel"/>
    <w:tmpl w:val="D4C4EC64"/>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6CF70009"/>
    <w:multiLevelType w:val="multilevel"/>
    <w:tmpl w:val="CC0693E6"/>
    <w:lvl w:ilvl="0">
      <w:start w:val="1"/>
      <w:numFmt w:val="upperRoman"/>
      <w:lvlText w:val="%1."/>
      <w:lvlJc w:val="left"/>
      <w:pPr>
        <w:ind w:left="1080" w:hanging="720"/>
      </w:pPr>
      <w:rPr>
        <w:rFonts w:ascii="Arial" w:hAnsi="Arial" w:cs="Arial"/>
        <w:b/>
        <w:bCs/>
        <w:sz w:val="24"/>
        <w:szCs w:val="24"/>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9" w15:restartNumberingAfterBreak="0">
    <w:nsid w:val="7590562A"/>
    <w:multiLevelType w:val="multilevel"/>
    <w:tmpl w:val="BBC0297C"/>
    <w:lvl w:ilvl="0">
      <w:start w:val="1"/>
      <w:numFmt w:val="lowerLetter"/>
      <w:lvlText w:val="%1)"/>
      <w:lvlJc w:val="left"/>
      <w:pPr>
        <w:ind w:left="720" w:hanging="360"/>
      </w:pPr>
      <w:rPr>
        <w:rFonts w:ascii="Arial" w:hAnsi="Arial" w:cs="Arial"/>
        <w:sz w:val="24"/>
        <w:szCs w:val="24"/>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0" w15:restartNumberingAfterBreak="0">
    <w:nsid w:val="7B5B1223"/>
    <w:multiLevelType w:val="multilevel"/>
    <w:tmpl w:val="1BC84B1A"/>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num w:numId="1" w16cid:durableId="1580870605">
    <w:abstractNumId w:val="8"/>
  </w:num>
  <w:num w:numId="2" w16cid:durableId="172961761">
    <w:abstractNumId w:val="1"/>
  </w:num>
  <w:num w:numId="3" w16cid:durableId="352728614">
    <w:abstractNumId w:val="2"/>
  </w:num>
  <w:num w:numId="4" w16cid:durableId="1001741384">
    <w:abstractNumId w:val="0"/>
  </w:num>
  <w:num w:numId="5" w16cid:durableId="1951619410">
    <w:abstractNumId w:val="4"/>
  </w:num>
  <w:num w:numId="6" w16cid:durableId="880675856">
    <w:abstractNumId w:val="3"/>
  </w:num>
  <w:num w:numId="7" w16cid:durableId="986595358">
    <w:abstractNumId w:val="7"/>
  </w:num>
  <w:num w:numId="8" w16cid:durableId="2114011948">
    <w:abstractNumId w:val="6"/>
  </w:num>
  <w:num w:numId="9" w16cid:durableId="1671640240">
    <w:abstractNumId w:val="5"/>
  </w:num>
  <w:num w:numId="10" w16cid:durableId="1557160545">
    <w:abstractNumId w:val="10"/>
  </w:num>
  <w:num w:numId="11" w16cid:durableId="2096003285">
    <w:abstractNumId w:val="9"/>
  </w:num>
  <w:num w:numId="12" w16cid:durableId="1525942699">
    <w:abstractNumId w:val="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F9F"/>
    <w:rsid w:val="0000749C"/>
    <w:rsid w:val="00014D76"/>
    <w:rsid w:val="00076AE7"/>
    <w:rsid w:val="000802A0"/>
    <w:rsid w:val="000808CD"/>
    <w:rsid w:val="00083351"/>
    <w:rsid w:val="00086F9F"/>
    <w:rsid w:val="000E3EFA"/>
    <w:rsid w:val="000F6F2E"/>
    <w:rsid w:val="00156533"/>
    <w:rsid w:val="001A2D1A"/>
    <w:rsid w:val="001B769B"/>
    <w:rsid w:val="001F3B2D"/>
    <w:rsid w:val="001F537D"/>
    <w:rsid w:val="002025C7"/>
    <w:rsid w:val="002056BC"/>
    <w:rsid w:val="00244167"/>
    <w:rsid w:val="00244345"/>
    <w:rsid w:val="00264456"/>
    <w:rsid w:val="00272016"/>
    <w:rsid w:val="00276538"/>
    <w:rsid w:val="002802CE"/>
    <w:rsid w:val="002865CB"/>
    <w:rsid w:val="002D57B3"/>
    <w:rsid w:val="002E2D52"/>
    <w:rsid w:val="002F47FA"/>
    <w:rsid w:val="00302F07"/>
    <w:rsid w:val="0033496D"/>
    <w:rsid w:val="00341DE7"/>
    <w:rsid w:val="00362C19"/>
    <w:rsid w:val="0036525D"/>
    <w:rsid w:val="003773A9"/>
    <w:rsid w:val="00382971"/>
    <w:rsid w:val="003929AF"/>
    <w:rsid w:val="003D7F2F"/>
    <w:rsid w:val="003E40B9"/>
    <w:rsid w:val="003E5B16"/>
    <w:rsid w:val="004146C1"/>
    <w:rsid w:val="00416DBB"/>
    <w:rsid w:val="004172DE"/>
    <w:rsid w:val="00450D25"/>
    <w:rsid w:val="00465A88"/>
    <w:rsid w:val="0047059A"/>
    <w:rsid w:val="00474EEE"/>
    <w:rsid w:val="00481083"/>
    <w:rsid w:val="004874F6"/>
    <w:rsid w:val="00491FEC"/>
    <w:rsid w:val="004A1FE5"/>
    <w:rsid w:val="004C3118"/>
    <w:rsid w:val="004C3DCE"/>
    <w:rsid w:val="004C4091"/>
    <w:rsid w:val="004E0431"/>
    <w:rsid w:val="004E2542"/>
    <w:rsid w:val="00576A67"/>
    <w:rsid w:val="005A721A"/>
    <w:rsid w:val="005B4D6D"/>
    <w:rsid w:val="005C573E"/>
    <w:rsid w:val="005D658F"/>
    <w:rsid w:val="005E1C8F"/>
    <w:rsid w:val="005E1EB8"/>
    <w:rsid w:val="006762CA"/>
    <w:rsid w:val="0068441A"/>
    <w:rsid w:val="00691A70"/>
    <w:rsid w:val="006966DC"/>
    <w:rsid w:val="006A396F"/>
    <w:rsid w:val="006E1DB5"/>
    <w:rsid w:val="006F5F80"/>
    <w:rsid w:val="00724D80"/>
    <w:rsid w:val="00731A4E"/>
    <w:rsid w:val="00732D82"/>
    <w:rsid w:val="00782AE8"/>
    <w:rsid w:val="007E7E29"/>
    <w:rsid w:val="008037E2"/>
    <w:rsid w:val="00812AEE"/>
    <w:rsid w:val="008265A8"/>
    <w:rsid w:val="0084362E"/>
    <w:rsid w:val="008C0F12"/>
    <w:rsid w:val="008E7C1C"/>
    <w:rsid w:val="008F5623"/>
    <w:rsid w:val="00937567"/>
    <w:rsid w:val="00943CE1"/>
    <w:rsid w:val="009672D8"/>
    <w:rsid w:val="00967CA3"/>
    <w:rsid w:val="00972506"/>
    <w:rsid w:val="009769F0"/>
    <w:rsid w:val="00982B5A"/>
    <w:rsid w:val="00992135"/>
    <w:rsid w:val="009922A8"/>
    <w:rsid w:val="00996FA1"/>
    <w:rsid w:val="00997253"/>
    <w:rsid w:val="009D419F"/>
    <w:rsid w:val="00A15F1E"/>
    <w:rsid w:val="00A222DD"/>
    <w:rsid w:val="00A54A22"/>
    <w:rsid w:val="00A662CD"/>
    <w:rsid w:val="00A82096"/>
    <w:rsid w:val="00A85F6C"/>
    <w:rsid w:val="00AA0E2F"/>
    <w:rsid w:val="00AA5A03"/>
    <w:rsid w:val="00AB5065"/>
    <w:rsid w:val="00AF78F1"/>
    <w:rsid w:val="00B16418"/>
    <w:rsid w:val="00B30ED4"/>
    <w:rsid w:val="00B30F19"/>
    <w:rsid w:val="00B31FF7"/>
    <w:rsid w:val="00B86764"/>
    <w:rsid w:val="00BA5E4C"/>
    <w:rsid w:val="00BD5914"/>
    <w:rsid w:val="00BE5CD5"/>
    <w:rsid w:val="00C164DC"/>
    <w:rsid w:val="00C165C7"/>
    <w:rsid w:val="00C3635F"/>
    <w:rsid w:val="00C74517"/>
    <w:rsid w:val="00C758A1"/>
    <w:rsid w:val="00C759DE"/>
    <w:rsid w:val="00C81D60"/>
    <w:rsid w:val="00C8435A"/>
    <w:rsid w:val="00CD530B"/>
    <w:rsid w:val="00CF7872"/>
    <w:rsid w:val="00D0244C"/>
    <w:rsid w:val="00D061D4"/>
    <w:rsid w:val="00D16B51"/>
    <w:rsid w:val="00D1725E"/>
    <w:rsid w:val="00D260A9"/>
    <w:rsid w:val="00D44238"/>
    <w:rsid w:val="00D535DC"/>
    <w:rsid w:val="00D55684"/>
    <w:rsid w:val="00D70547"/>
    <w:rsid w:val="00D81369"/>
    <w:rsid w:val="00DA579A"/>
    <w:rsid w:val="00DB7642"/>
    <w:rsid w:val="00DD48D2"/>
    <w:rsid w:val="00DE1B94"/>
    <w:rsid w:val="00DE652F"/>
    <w:rsid w:val="00DF1B09"/>
    <w:rsid w:val="00E13B54"/>
    <w:rsid w:val="00E32422"/>
    <w:rsid w:val="00E35E4C"/>
    <w:rsid w:val="00E66058"/>
    <w:rsid w:val="00EB596C"/>
    <w:rsid w:val="00F0436A"/>
    <w:rsid w:val="00F066AB"/>
    <w:rsid w:val="00F3281E"/>
    <w:rsid w:val="00F76872"/>
    <w:rsid w:val="00F80822"/>
    <w:rsid w:val="00F938D0"/>
    <w:rsid w:val="00FA37F3"/>
    <w:rsid w:val="00FB3621"/>
    <w:rsid w:val="00FF41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64069"/>
  <w15:chartTrackingRefBased/>
  <w15:docId w15:val="{343B82F2-95AD-43F1-BA54-1DA371C70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6A67"/>
    <w:pPr>
      <w:suppressAutoHyphens/>
      <w:autoSpaceDN w:val="0"/>
      <w:spacing w:line="240" w:lineRule="auto"/>
    </w:pPr>
    <w:rPr>
      <w:rFonts w:ascii="Calibri" w:eastAsia="Calibri" w:hAnsi="Calibri" w:cs="Times New Roman"/>
      <w:kern w:val="3"/>
      <w14:ligatures w14:val="none"/>
    </w:rPr>
  </w:style>
  <w:style w:type="paragraph" w:styleId="Nagwek1">
    <w:name w:val="heading 1"/>
    <w:basedOn w:val="Normalny"/>
    <w:next w:val="Normalny"/>
    <w:link w:val="Nagwek1Znak"/>
    <w:uiPriority w:val="9"/>
    <w:qFormat/>
    <w:rsid w:val="00086F9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086F9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086F9F"/>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086F9F"/>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086F9F"/>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086F9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86F9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86F9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86F9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86F9F"/>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086F9F"/>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086F9F"/>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086F9F"/>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086F9F"/>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086F9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86F9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86F9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86F9F"/>
    <w:rPr>
      <w:rFonts w:eastAsiaTheme="majorEastAsia" w:cstheme="majorBidi"/>
      <w:color w:val="272727" w:themeColor="text1" w:themeTint="D8"/>
    </w:rPr>
  </w:style>
  <w:style w:type="paragraph" w:styleId="Tytu">
    <w:name w:val="Title"/>
    <w:basedOn w:val="Normalny"/>
    <w:next w:val="Normalny"/>
    <w:link w:val="TytuZnak"/>
    <w:uiPriority w:val="10"/>
    <w:qFormat/>
    <w:rsid w:val="00086F9F"/>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86F9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86F9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86F9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86F9F"/>
    <w:pPr>
      <w:spacing w:before="160"/>
      <w:jc w:val="center"/>
    </w:pPr>
    <w:rPr>
      <w:i/>
      <w:iCs/>
      <w:color w:val="404040" w:themeColor="text1" w:themeTint="BF"/>
    </w:rPr>
  </w:style>
  <w:style w:type="character" w:customStyle="1" w:styleId="CytatZnak">
    <w:name w:val="Cytat Znak"/>
    <w:basedOn w:val="Domylnaczcionkaakapitu"/>
    <w:link w:val="Cytat"/>
    <w:uiPriority w:val="29"/>
    <w:rsid w:val="00086F9F"/>
    <w:rPr>
      <w:i/>
      <w:iCs/>
      <w:color w:val="404040" w:themeColor="text1" w:themeTint="BF"/>
    </w:rPr>
  </w:style>
  <w:style w:type="paragraph" w:styleId="Akapitzlist">
    <w:name w:val="List Paragraph"/>
    <w:basedOn w:val="Normalny"/>
    <w:qFormat/>
    <w:rsid w:val="00086F9F"/>
    <w:pPr>
      <w:ind w:left="720"/>
      <w:contextualSpacing/>
    </w:pPr>
  </w:style>
  <w:style w:type="character" w:styleId="Wyrnienieintensywne">
    <w:name w:val="Intense Emphasis"/>
    <w:basedOn w:val="Domylnaczcionkaakapitu"/>
    <w:uiPriority w:val="21"/>
    <w:qFormat/>
    <w:rsid w:val="00086F9F"/>
    <w:rPr>
      <w:i/>
      <w:iCs/>
      <w:color w:val="0F4761" w:themeColor="accent1" w:themeShade="BF"/>
    </w:rPr>
  </w:style>
  <w:style w:type="paragraph" w:styleId="Cytatintensywny">
    <w:name w:val="Intense Quote"/>
    <w:basedOn w:val="Normalny"/>
    <w:next w:val="Normalny"/>
    <w:link w:val="CytatintensywnyZnak"/>
    <w:uiPriority w:val="30"/>
    <w:qFormat/>
    <w:rsid w:val="00086F9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086F9F"/>
    <w:rPr>
      <w:i/>
      <w:iCs/>
      <w:color w:val="0F4761" w:themeColor="accent1" w:themeShade="BF"/>
    </w:rPr>
  </w:style>
  <w:style w:type="character" w:styleId="Odwoanieintensywne">
    <w:name w:val="Intense Reference"/>
    <w:basedOn w:val="Domylnaczcionkaakapitu"/>
    <w:uiPriority w:val="32"/>
    <w:qFormat/>
    <w:rsid w:val="00086F9F"/>
    <w:rPr>
      <w:b/>
      <w:bCs/>
      <w:smallCaps/>
      <w:color w:val="0F4761" w:themeColor="accent1" w:themeShade="BF"/>
      <w:spacing w:val="5"/>
    </w:rPr>
  </w:style>
  <w:style w:type="paragraph" w:styleId="Tekstprzypisudolnego">
    <w:name w:val="footnote text"/>
    <w:basedOn w:val="Normalny"/>
    <w:link w:val="TekstprzypisudolnegoZnak"/>
    <w:rsid w:val="00576A67"/>
    <w:pPr>
      <w:spacing w:after="0"/>
    </w:pPr>
    <w:rPr>
      <w:sz w:val="20"/>
      <w:szCs w:val="20"/>
    </w:rPr>
  </w:style>
  <w:style w:type="character" w:customStyle="1" w:styleId="TekstprzypisudolnegoZnak">
    <w:name w:val="Tekst przypisu dolnego Znak"/>
    <w:basedOn w:val="Domylnaczcionkaakapitu"/>
    <w:link w:val="Tekstprzypisudolnego"/>
    <w:rsid w:val="00576A67"/>
    <w:rPr>
      <w:rFonts w:ascii="Calibri" w:eastAsia="Calibri" w:hAnsi="Calibri" w:cs="Times New Roman"/>
      <w:kern w:val="3"/>
      <w:sz w:val="20"/>
      <w:szCs w:val="20"/>
      <w14:ligatures w14:val="none"/>
    </w:rPr>
  </w:style>
  <w:style w:type="character" w:styleId="Odwoanieprzypisudolnego">
    <w:name w:val="footnote reference"/>
    <w:basedOn w:val="Domylnaczcionkaakapitu"/>
    <w:rsid w:val="00576A67"/>
    <w:rPr>
      <w:position w:val="0"/>
      <w:vertAlign w:val="superscript"/>
    </w:rPr>
  </w:style>
  <w:style w:type="character" w:styleId="Hipercze">
    <w:name w:val="Hyperlink"/>
    <w:basedOn w:val="Domylnaczcionkaakapitu"/>
    <w:rsid w:val="00576A67"/>
    <w:rPr>
      <w:color w:val="0563C1"/>
      <w:u w:val="single"/>
    </w:rPr>
  </w:style>
  <w:style w:type="paragraph" w:styleId="Nagwek">
    <w:name w:val="header"/>
    <w:basedOn w:val="Normalny"/>
    <w:link w:val="NagwekZnak"/>
    <w:rsid w:val="00576A67"/>
    <w:pPr>
      <w:tabs>
        <w:tab w:val="center" w:pos="4536"/>
        <w:tab w:val="right" w:pos="9072"/>
      </w:tabs>
      <w:spacing w:after="0"/>
    </w:pPr>
  </w:style>
  <w:style w:type="character" w:customStyle="1" w:styleId="NagwekZnak">
    <w:name w:val="Nagłówek Znak"/>
    <w:basedOn w:val="Domylnaczcionkaakapitu"/>
    <w:link w:val="Nagwek"/>
    <w:rsid w:val="00576A67"/>
    <w:rPr>
      <w:rFonts w:ascii="Calibri" w:eastAsia="Calibri" w:hAnsi="Calibri" w:cs="Times New Roman"/>
      <w:kern w:val="3"/>
      <w14:ligatures w14:val="none"/>
    </w:rPr>
  </w:style>
  <w:style w:type="character" w:customStyle="1" w:styleId="hgkelc">
    <w:name w:val="hgkelc"/>
    <w:basedOn w:val="Domylnaczcionkaakapitu"/>
    <w:rsid w:val="00576A67"/>
  </w:style>
  <w:style w:type="paragraph" w:styleId="Stopka">
    <w:name w:val="footer"/>
    <w:basedOn w:val="Normalny"/>
    <w:link w:val="StopkaZnak"/>
    <w:uiPriority w:val="99"/>
    <w:semiHidden/>
    <w:unhideWhenUsed/>
    <w:rsid w:val="00CF7872"/>
    <w:pPr>
      <w:tabs>
        <w:tab w:val="center" w:pos="4536"/>
        <w:tab w:val="right" w:pos="9072"/>
      </w:tabs>
      <w:spacing w:after="0"/>
    </w:pPr>
  </w:style>
  <w:style w:type="character" w:customStyle="1" w:styleId="StopkaZnak">
    <w:name w:val="Stopka Znak"/>
    <w:basedOn w:val="Domylnaczcionkaakapitu"/>
    <w:link w:val="Stopka"/>
    <w:uiPriority w:val="99"/>
    <w:semiHidden/>
    <w:rsid w:val="00CF7872"/>
    <w:rPr>
      <w:rFonts w:ascii="Calibri" w:eastAsia="Calibri" w:hAnsi="Calibri" w:cs="Times New Roman"/>
      <w:kern w:val="3"/>
      <w14:ligatures w14:val="none"/>
    </w:rPr>
  </w:style>
  <w:style w:type="character" w:styleId="Odwoaniedokomentarza">
    <w:name w:val="annotation reference"/>
    <w:basedOn w:val="Domylnaczcionkaakapitu"/>
    <w:uiPriority w:val="99"/>
    <w:semiHidden/>
    <w:unhideWhenUsed/>
    <w:rsid w:val="00D70547"/>
    <w:rPr>
      <w:sz w:val="16"/>
      <w:szCs w:val="16"/>
    </w:rPr>
  </w:style>
  <w:style w:type="paragraph" w:styleId="Tekstkomentarza">
    <w:name w:val="annotation text"/>
    <w:basedOn w:val="Normalny"/>
    <w:link w:val="TekstkomentarzaZnak"/>
    <w:uiPriority w:val="99"/>
    <w:unhideWhenUsed/>
    <w:rsid w:val="00D70547"/>
    <w:rPr>
      <w:sz w:val="20"/>
      <w:szCs w:val="20"/>
    </w:rPr>
  </w:style>
  <w:style w:type="character" w:customStyle="1" w:styleId="TekstkomentarzaZnak">
    <w:name w:val="Tekst komentarza Znak"/>
    <w:basedOn w:val="Domylnaczcionkaakapitu"/>
    <w:link w:val="Tekstkomentarza"/>
    <w:uiPriority w:val="99"/>
    <w:rsid w:val="00D70547"/>
    <w:rPr>
      <w:rFonts w:ascii="Calibri" w:eastAsia="Calibri" w:hAnsi="Calibri" w:cs="Times New Roman"/>
      <w:kern w:val="3"/>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D70547"/>
    <w:rPr>
      <w:b/>
      <w:bCs/>
    </w:rPr>
  </w:style>
  <w:style w:type="character" w:customStyle="1" w:styleId="TematkomentarzaZnak">
    <w:name w:val="Temat komentarza Znak"/>
    <w:basedOn w:val="TekstkomentarzaZnak"/>
    <w:link w:val="Tematkomentarza"/>
    <w:uiPriority w:val="99"/>
    <w:semiHidden/>
    <w:rsid w:val="00D70547"/>
    <w:rPr>
      <w:rFonts w:ascii="Calibri" w:eastAsia="Calibri" w:hAnsi="Calibri" w:cs="Times New Roman"/>
      <w:b/>
      <w:bCs/>
      <w:kern w:val="3"/>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unduszeeuropejskie.gov.pl/strony/o-funduszach/dokumenty/wytyczne-dotyczace-realizacji-zasad-rownosciowych-w-ramach-funduszy-unijnych-na-lata-2021-2027-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po.gov.pl/strony/o-kpo/dla-instytucji/dokumenty/strategia-promocji-i-informacji-kpo/"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uplublin.praca.gov.pl/system-identyfikacji-wizualnej"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03c0d14-5953-4841-be77-1562fa41b68c" xsi:nil="true"/>
    <lcf76f155ced4ddcb4097134ff3c332f xmlns="43372c9e-e8a3-4652-a448-614f175c0d76">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5" ma:contentTypeDescription="Utwórz nowy dokument." ma:contentTypeScope="" ma:versionID="ceb99915dbdc1a4ad042e21d8db56877">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b660146f7a50c1373f3153aa507840e2"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B0A262-2015-4DF7-B843-2422A850A3AC}">
  <ds:schemaRefs>
    <ds:schemaRef ds:uri="http://schemas.openxmlformats.org/officeDocument/2006/bibliography"/>
  </ds:schemaRefs>
</ds:datastoreItem>
</file>

<file path=customXml/itemProps2.xml><?xml version="1.0" encoding="utf-8"?>
<ds:datastoreItem xmlns:ds="http://schemas.openxmlformats.org/officeDocument/2006/customXml" ds:itemID="{54B2B4A5-8143-4D5D-97E6-265779C13F36}">
  <ds:schemaRefs>
    <ds:schemaRef ds:uri="http://schemas.microsoft.com/sharepoint/v3/contenttype/forms"/>
  </ds:schemaRefs>
</ds:datastoreItem>
</file>

<file path=customXml/itemProps3.xml><?xml version="1.0" encoding="utf-8"?>
<ds:datastoreItem xmlns:ds="http://schemas.openxmlformats.org/officeDocument/2006/customXml" ds:itemID="{6657D970-9681-45C6-91E4-8E5D1DF8F940}">
  <ds:schemaRefs>
    <ds:schemaRef ds:uri="http://schemas.microsoft.com/office/2006/metadata/properties"/>
    <ds:schemaRef ds:uri="http://schemas.microsoft.com/office/infopath/2007/PartnerControls"/>
    <ds:schemaRef ds:uri="a03c0d14-5953-4841-be77-1562fa41b68c"/>
    <ds:schemaRef ds:uri="43372c9e-e8a3-4652-a448-614f175c0d76"/>
  </ds:schemaRefs>
</ds:datastoreItem>
</file>

<file path=customXml/itemProps4.xml><?xml version="1.0" encoding="utf-8"?>
<ds:datastoreItem xmlns:ds="http://schemas.openxmlformats.org/officeDocument/2006/customXml" ds:itemID="{A6E70457-4225-48C0-9EA0-3E95E1B93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321</TotalTime>
  <Pages>13</Pages>
  <Words>5103</Words>
  <Characters>33632</Characters>
  <Application>Microsoft Office Word</Application>
  <DocSecurity>0</DocSecurity>
  <Lines>509</Lines>
  <Paragraphs>178</Paragraphs>
  <ScaleCrop>false</ScaleCrop>
  <Company/>
  <LinksUpToDate>false</LinksUpToDate>
  <CharactersWithSpaces>38557</CharactersWithSpaces>
  <SharedDoc>false</SharedDoc>
  <HLinks>
    <vt:vector size="18" baseType="variant">
      <vt:variant>
        <vt:i4>7209073</vt:i4>
      </vt:variant>
      <vt:variant>
        <vt:i4>6</vt:i4>
      </vt:variant>
      <vt:variant>
        <vt:i4>0</vt:i4>
      </vt:variant>
      <vt:variant>
        <vt:i4>5</vt:i4>
      </vt:variant>
      <vt:variant>
        <vt:lpwstr>https://www.funduszeeuropejskie.gov.pl/strony/o-funduszach/dokumenty/wytyczne-dotyczace-realizacji-zasad-rownosciowych-w-ramach-funduszy-unijnych-na-lata-2021-2027-1/</vt:lpwstr>
      </vt:variant>
      <vt:variant>
        <vt:lpwstr/>
      </vt:variant>
      <vt:variant>
        <vt:i4>5373970</vt:i4>
      </vt:variant>
      <vt:variant>
        <vt:i4>3</vt:i4>
      </vt:variant>
      <vt:variant>
        <vt:i4>0</vt:i4>
      </vt:variant>
      <vt:variant>
        <vt:i4>5</vt:i4>
      </vt:variant>
      <vt:variant>
        <vt:lpwstr>https://www.kpo.gov.pl/strony/o-kpo/dla-instytucji/dokumenty/strategia-promocji-i-informacji-kpo/</vt:lpwstr>
      </vt:variant>
      <vt:variant>
        <vt:lpwstr/>
      </vt:variant>
      <vt:variant>
        <vt:i4>6160403</vt:i4>
      </vt:variant>
      <vt:variant>
        <vt:i4>0</vt:i4>
      </vt:variant>
      <vt:variant>
        <vt:i4>0</vt:i4>
      </vt:variant>
      <vt:variant>
        <vt:i4>5</vt:i4>
      </vt:variant>
      <vt:variant>
        <vt:lpwstr>https://wuplublin.praca.gov.pl/system-identyfikacji-wizualnej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Bil</dc:creator>
  <cp:keywords/>
  <dc:description/>
  <cp:lastModifiedBy>I C</cp:lastModifiedBy>
  <cp:revision>90</cp:revision>
  <dcterms:created xsi:type="dcterms:W3CDTF">2024-08-01T19:39:00Z</dcterms:created>
  <dcterms:modified xsi:type="dcterms:W3CDTF">2024-12-09T10:08:00Z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0x010100B35DC7F22421274EAB0046220830E146</vt:lpwstr>
  </property>
  <property fmtid="{D5CDD505-2E9C-101B-9397-08002B2CF9AE}" pid="3" name="MediaServiceImageTags">
    <vt:lpwstr/>
  </property>
</Properties>
</file>